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B552" w14:textId="77777777" w:rsidR="006E0E5A" w:rsidRDefault="006E0E5A"/>
    <w:p w14:paraId="015A651C" w14:textId="264BEED1" w:rsidR="003E3332" w:rsidRPr="001E101F" w:rsidRDefault="003E3332" w:rsidP="001C5831">
      <w:pPr>
        <w:spacing w:line="480" w:lineRule="auto"/>
        <w:jc w:val="center"/>
        <w:rPr>
          <w:b/>
          <w:bCs/>
        </w:rPr>
      </w:pPr>
      <w:r w:rsidRPr="001E101F">
        <w:rPr>
          <w:b/>
          <w:bCs/>
        </w:rPr>
        <w:t xml:space="preserve">Nature </w:t>
      </w:r>
      <w:r w:rsidR="00B96690" w:rsidRPr="001E101F">
        <w:rPr>
          <w:b/>
          <w:bCs/>
        </w:rPr>
        <w:t>and the</w:t>
      </w:r>
      <w:r w:rsidRPr="001E101F">
        <w:rPr>
          <w:b/>
          <w:bCs/>
        </w:rPr>
        <w:t xml:space="preserve"> Law: </w:t>
      </w:r>
      <w:r w:rsidR="00987429" w:rsidRPr="001E101F">
        <w:rPr>
          <w:b/>
          <w:bCs/>
        </w:rPr>
        <w:t xml:space="preserve">In Defense of a </w:t>
      </w:r>
      <w:proofErr w:type="spellStart"/>
      <w:r w:rsidR="00987429" w:rsidRPr="001E101F">
        <w:rPr>
          <w:b/>
          <w:bCs/>
        </w:rPr>
        <w:t>Pluriversal</w:t>
      </w:r>
      <w:proofErr w:type="spellEnd"/>
      <w:r w:rsidR="00987429" w:rsidRPr="001E101F">
        <w:rPr>
          <w:b/>
          <w:bCs/>
        </w:rPr>
        <w:t>, More-than-Human Approach</w:t>
      </w:r>
    </w:p>
    <w:p w14:paraId="16FCD092" w14:textId="4A158837" w:rsidR="00786960" w:rsidRPr="001E101F" w:rsidRDefault="00CC1B93" w:rsidP="001C5831">
      <w:pPr>
        <w:spacing w:line="480" w:lineRule="auto"/>
      </w:pPr>
      <w:r w:rsidRPr="001E101F">
        <w:t xml:space="preserve">How </w:t>
      </w:r>
      <w:r w:rsidRPr="001E101F">
        <w:rPr>
          <w:i/>
          <w:iCs/>
        </w:rPr>
        <w:t>can</w:t>
      </w:r>
      <w:r w:rsidRPr="001E101F">
        <w:t xml:space="preserve"> </w:t>
      </w:r>
      <w:r w:rsidR="00FF5579" w:rsidRPr="001E101F">
        <w:t>n</w:t>
      </w:r>
      <w:r w:rsidRPr="001E101F">
        <w:t xml:space="preserve">ature be incorporated into </w:t>
      </w:r>
      <w:r w:rsidR="00617FE1" w:rsidRPr="001E101F">
        <w:t xml:space="preserve">the </w:t>
      </w:r>
      <w:r w:rsidRPr="001E101F">
        <w:t xml:space="preserve">law? </w:t>
      </w:r>
      <w:r w:rsidR="00617FE1" w:rsidRPr="001E101F">
        <w:t xml:space="preserve">How </w:t>
      </w:r>
      <w:r w:rsidR="00617FE1" w:rsidRPr="001E101F">
        <w:rPr>
          <w:i/>
          <w:iCs/>
        </w:rPr>
        <w:t>should</w:t>
      </w:r>
      <w:r w:rsidR="00617FE1" w:rsidRPr="001E101F">
        <w:t xml:space="preserve"> </w:t>
      </w:r>
      <w:r w:rsidR="00FF5579" w:rsidRPr="001E101F">
        <w:t>n</w:t>
      </w:r>
      <w:r w:rsidR="00617FE1" w:rsidRPr="001E101F">
        <w:t xml:space="preserve">ature be incorporated into the law? Given the increasing number of jurisdictions around the world that have sought to bring </w:t>
      </w:r>
      <w:r w:rsidR="00FF5579" w:rsidRPr="001E101F">
        <w:t>n</w:t>
      </w:r>
      <w:r w:rsidR="00617FE1" w:rsidRPr="001E101F">
        <w:t xml:space="preserve">ature into the legal frame, the moment is ripe for taking stock of such efforts with an eye towards developing a framework for further instantiation across different contexts. This essay </w:t>
      </w:r>
      <w:r w:rsidR="00F20856" w:rsidRPr="001E101F">
        <w:t xml:space="preserve">provides such a platform for reflection by discussing three key points of differentiation that have emerged in the rights of </w:t>
      </w:r>
      <w:r w:rsidR="00786B26" w:rsidRPr="001E101F">
        <w:t>n</w:t>
      </w:r>
      <w:r w:rsidR="00F20856" w:rsidRPr="001E101F">
        <w:t xml:space="preserve">ature </w:t>
      </w:r>
      <w:r w:rsidR="00786B26" w:rsidRPr="001E101F">
        <w:t>(</w:t>
      </w:r>
      <w:proofErr w:type="spellStart"/>
      <w:r w:rsidR="00786B26" w:rsidRPr="001E101F">
        <w:t>RoN</w:t>
      </w:r>
      <w:proofErr w:type="spellEnd"/>
      <w:r w:rsidR="00786B26" w:rsidRPr="001E101F">
        <w:t xml:space="preserve">) </w:t>
      </w:r>
      <w:r w:rsidR="00F20856" w:rsidRPr="001E101F">
        <w:t>movement—</w:t>
      </w:r>
      <w:r w:rsidR="00E02B23" w:rsidRPr="001E101F">
        <w:t xml:space="preserve">form, mechanism, and orientation. In terms of form, jurisdictions </w:t>
      </w:r>
      <w:r w:rsidR="002D7AB7" w:rsidRPr="001E101F">
        <w:t xml:space="preserve">vary according to whether they pursue </w:t>
      </w:r>
      <w:r w:rsidR="00E02B23" w:rsidRPr="001E101F">
        <w:t xml:space="preserve">legal personhood </w:t>
      </w:r>
      <w:r w:rsidR="002D7AB7" w:rsidRPr="001E101F">
        <w:t xml:space="preserve">or direct </w:t>
      </w:r>
      <w:r w:rsidR="00E02B23" w:rsidRPr="001E101F">
        <w:t>legal rights</w:t>
      </w:r>
      <w:r w:rsidR="002D7AB7" w:rsidRPr="001E101F">
        <w:t xml:space="preserve">. </w:t>
      </w:r>
      <w:r w:rsidR="00BC5A77" w:rsidRPr="001E101F">
        <w:t>As far as</w:t>
      </w:r>
      <w:r w:rsidR="00E02B23" w:rsidRPr="001E101F">
        <w:t xml:space="preserve"> mechanisms by which natural entities have their interests </w:t>
      </w:r>
      <w:r w:rsidR="00BC5A77" w:rsidRPr="001E101F">
        <w:t>regarded</w:t>
      </w:r>
      <w:r w:rsidR="00E02B23" w:rsidRPr="001E101F">
        <w:t>, most contexts utilize some form of anthropo</w:t>
      </w:r>
      <w:r w:rsidR="002D7AB7" w:rsidRPr="001E101F">
        <w:t>centric</w:t>
      </w:r>
      <w:r w:rsidR="00E02B23" w:rsidRPr="001E101F">
        <w:t xml:space="preserve"> representation while </w:t>
      </w:r>
      <w:r w:rsidR="00E6412A" w:rsidRPr="001E101F">
        <w:t>design-inspired, more-than-human</w:t>
      </w:r>
      <w:r w:rsidR="00E02B23" w:rsidRPr="001E101F">
        <w:t xml:space="preserve"> approaches have yet to be adequately explored. Finally, with respect to orientation, </w:t>
      </w:r>
      <w:r w:rsidR="002D7AB7" w:rsidRPr="001E101F">
        <w:t xml:space="preserve">the </w:t>
      </w:r>
      <w:proofErr w:type="spellStart"/>
      <w:r w:rsidR="002D7AB7" w:rsidRPr="001E101F">
        <w:t>RoN</w:t>
      </w:r>
      <w:proofErr w:type="spellEnd"/>
      <w:r w:rsidR="002D7AB7" w:rsidRPr="001E101F">
        <w:t xml:space="preserve"> movement is </w:t>
      </w:r>
      <w:r w:rsidR="00582B7B" w:rsidRPr="001E101F">
        <w:t>settling into</w:t>
      </w:r>
      <w:r w:rsidR="002D7AB7" w:rsidRPr="001E101F">
        <w:t xml:space="preserve"> two schools—technocratic and cultural—marked by divergent onto-epistemological foundations</w:t>
      </w:r>
      <w:r w:rsidR="00C605FD" w:rsidRPr="001E101F">
        <w:t xml:space="preserve">. Upon probing these lines of </w:t>
      </w:r>
      <w:r w:rsidR="00AB4EFA" w:rsidRPr="001E101F">
        <w:t>contention</w:t>
      </w:r>
      <w:r w:rsidR="00C605FD" w:rsidRPr="001E101F">
        <w:t xml:space="preserve">, I </w:t>
      </w:r>
      <w:r w:rsidR="00EC7543" w:rsidRPr="001E101F">
        <w:t>propose</w:t>
      </w:r>
      <w:r w:rsidR="00C605FD" w:rsidRPr="001E101F">
        <w:t xml:space="preserve"> </w:t>
      </w:r>
      <w:r w:rsidR="00AB4EFA" w:rsidRPr="001E101F">
        <w:t xml:space="preserve">several </w:t>
      </w:r>
      <w:r w:rsidR="00EC7543" w:rsidRPr="001E101F">
        <w:t xml:space="preserve">normative </w:t>
      </w:r>
      <w:r w:rsidR="00C605FD" w:rsidRPr="001E101F">
        <w:t xml:space="preserve">recommendations. I conclude that </w:t>
      </w:r>
      <w:r w:rsidR="00416BB2" w:rsidRPr="001E101F">
        <w:t xml:space="preserve">the </w:t>
      </w:r>
      <w:r w:rsidR="00AC5DB7" w:rsidRPr="001E101F">
        <w:t xml:space="preserve">success or failure of </w:t>
      </w:r>
      <w:r w:rsidR="006C39FC" w:rsidRPr="001E101F">
        <w:t>the</w:t>
      </w:r>
      <w:r w:rsidR="00AC5DB7" w:rsidRPr="001E101F">
        <w:t xml:space="preserve"> </w:t>
      </w:r>
      <w:r w:rsidR="006C39FC" w:rsidRPr="001E101F">
        <w:t xml:space="preserve">proposed </w:t>
      </w:r>
      <w:r w:rsidR="00AC5DB7" w:rsidRPr="001E101F">
        <w:t xml:space="preserve">“Law and Nature” </w:t>
      </w:r>
      <w:r w:rsidR="006C39FC" w:rsidRPr="001E101F">
        <w:t>initiative hinges on its willingness to reject</w:t>
      </w:r>
      <w:r w:rsidR="00AB4EFA" w:rsidRPr="001E101F">
        <w:t xml:space="preserve"> conventional legal thinking </w:t>
      </w:r>
      <w:r w:rsidR="006C39FC" w:rsidRPr="001E101F">
        <w:t xml:space="preserve">in favor of </w:t>
      </w:r>
      <w:r w:rsidR="00D1677D" w:rsidRPr="001E101F">
        <w:t>radical</w:t>
      </w:r>
      <w:r w:rsidR="00AB4EFA" w:rsidRPr="001E101F">
        <w:t xml:space="preserve"> departures from </w:t>
      </w:r>
      <w:r w:rsidR="00D1677D" w:rsidRPr="001E101F">
        <w:t>modern</w:t>
      </w:r>
      <w:r w:rsidR="00AB4EFA" w:rsidRPr="001E101F">
        <w:t xml:space="preserve"> law. </w:t>
      </w:r>
    </w:p>
    <w:p w14:paraId="25CC03CC" w14:textId="77777777" w:rsidR="001442F4" w:rsidRPr="001E101F" w:rsidRDefault="001442F4" w:rsidP="001C5831">
      <w:pPr>
        <w:spacing w:line="480" w:lineRule="auto"/>
        <w:rPr>
          <w:b/>
          <w:bCs/>
        </w:rPr>
      </w:pPr>
    </w:p>
    <w:p w14:paraId="6E7D7F08" w14:textId="4CCB1406" w:rsidR="00914025" w:rsidRPr="001E101F" w:rsidRDefault="00BA3BD8" w:rsidP="001C5831">
      <w:pPr>
        <w:spacing w:line="480" w:lineRule="auto"/>
        <w:rPr>
          <w:b/>
          <w:bCs/>
        </w:rPr>
      </w:pPr>
      <w:r w:rsidRPr="001E101F">
        <w:rPr>
          <w:b/>
          <w:bCs/>
        </w:rPr>
        <w:t>1 INTRODUCTION</w:t>
      </w:r>
    </w:p>
    <w:p w14:paraId="5F30004A" w14:textId="5CAC0120" w:rsidR="00BA37BA" w:rsidRPr="001E101F" w:rsidRDefault="00C34DE4" w:rsidP="001C5831">
      <w:pPr>
        <w:spacing w:line="480" w:lineRule="auto"/>
      </w:pPr>
      <w:r w:rsidRPr="001E101F">
        <w:t xml:space="preserve">The proposal to launch a new approach to law referred to as “Law and Nature” follows in the footsteps of extant reformatory packages designed to address major deficiencies in the way that legal systems interface with the natural environment. </w:t>
      </w:r>
      <w:r w:rsidR="00740245" w:rsidRPr="001E101F">
        <w:t>Notable p</w:t>
      </w:r>
      <w:r w:rsidRPr="001E101F">
        <w:t xml:space="preserve">redecessors include, </w:t>
      </w:r>
      <w:r w:rsidRPr="001E101F">
        <w:rPr>
          <w:i/>
          <w:iCs/>
        </w:rPr>
        <w:t>inter alia</w:t>
      </w:r>
      <w:r w:rsidRPr="001E101F">
        <w:t xml:space="preserve">, </w:t>
      </w:r>
      <w:r w:rsidR="00455AFF" w:rsidRPr="001E101F">
        <w:lastRenderedPageBreak/>
        <w:t>critical environmental law,</w:t>
      </w:r>
      <w:r w:rsidR="00605757" w:rsidRPr="001E101F">
        <w:rPr>
          <w:rStyle w:val="FootnoteReference"/>
        </w:rPr>
        <w:footnoteReference w:id="1"/>
      </w:r>
      <w:r w:rsidR="00455AFF" w:rsidRPr="001E101F">
        <w:t xml:space="preserve"> </w:t>
      </w:r>
      <w:r w:rsidRPr="001E101F">
        <w:t>ecological law,</w:t>
      </w:r>
      <w:r w:rsidR="00605757" w:rsidRPr="001E101F">
        <w:rPr>
          <w:rStyle w:val="FootnoteReference"/>
        </w:rPr>
        <w:footnoteReference w:id="2"/>
      </w:r>
      <w:r w:rsidRPr="001E101F">
        <w:t xml:space="preserve"> </w:t>
      </w:r>
      <w:r w:rsidR="00C205F6" w:rsidRPr="001E101F">
        <w:t>E</w:t>
      </w:r>
      <w:r w:rsidR="00462859" w:rsidRPr="001E101F">
        <w:t>arth jurisprudence,</w:t>
      </w:r>
      <w:r w:rsidR="00605757" w:rsidRPr="001E101F">
        <w:rPr>
          <w:rStyle w:val="FootnoteReference"/>
        </w:rPr>
        <w:footnoteReference w:id="3"/>
      </w:r>
      <w:r w:rsidR="00462859" w:rsidRPr="001E101F">
        <w:t xml:space="preserve"> </w:t>
      </w:r>
      <w:r w:rsidRPr="001E101F">
        <w:t>wild law,</w:t>
      </w:r>
      <w:r w:rsidR="00605757" w:rsidRPr="001E101F">
        <w:rPr>
          <w:rStyle w:val="FootnoteReference"/>
        </w:rPr>
        <w:footnoteReference w:id="4"/>
      </w:r>
      <w:r w:rsidRPr="001E101F">
        <w:t xml:space="preserve"> and Earth system law.</w:t>
      </w:r>
      <w:r w:rsidR="00605757" w:rsidRPr="001E101F">
        <w:rPr>
          <w:rStyle w:val="FootnoteReference"/>
        </w:rPr>
        <w:footnoteReference w:id="5"/>
      </w:r>
      <w:r w:rsidRPr="001E101F">
        <w:t xml:space="preserve"> The basis for yet another entrant into this discussion resides in the fact that environmental law has failed to live up to its billing as a means of preventing harm to nature and its inhabitants</w:t>
      </w:r>
      <w:r w:rsidR="00740245" w:rsidRPr="001E101F">
        <w:t>, especially in t</w:t>
      </w:r>
      <w:r w:rsidR="0079492E" w:rsidRPr="001E101F">
        <w:t xml:space="preserve">erms of existential crises such as </w:t>
      </w:r>
      <w:r w:rsidR="00740245" w:rsidRPr="001E101F">
        <w:t>climate change, biodiversity loss, and pollution</w:t>
      </w:r>
      <w:r w:rsidRPr="001E101F">
        <w:t xml:space="preserve">. </w:t>
      </w:r>
      <w:r w:rsidR="001238A7" w:rsidRPr="001E101F">
        <w:t>As evidence, consider the utter failure of the global community to meaningfully curb climate change</w:t>
      </w:r>
      <w:r w:rsidR="00740245" w:rsidRPr="001E101F">
        <w:t xml:space="preserve">, creeping species extinction, and ongoing environmental injustices. </w:t>
      </w:r>
    </w:p>
    <w:p w14:paraId="31DDFE54" w14:textId="03E9E641" w:rsidR="00914025" w:rsidRPr="001E101F" w:rsidRDefault="00C34DE4" w:rsidP="001C5831">
      <w:pPr>
        <w:spacing w:line="480" w:lineRule="auto"/>
        <w:ind w:firstLine="720"/>
      </w:pPr>
      <w:r w:rsidRPr="001E101F">
        <w:t xml:space="preserve">However, for some, there is </w:t>
      </w:r>
      <w:proofErr w:type="gramStart"/>
      <w:r w:rsidRPr="001E101F">
        <w:t>actually nothing</w:t>
      </w:r>
      <w:proofErr w:type="gramEnd"/>
      <w:r w:rsidRPr="001E101F">
        <w:t xml:space="preserve"> wrong with environmental law</w:t>
      </w:r>
      <w:r w:rsidR="001238A7" w:rsidRPr="001E101F">
        <w:t>.</w:t>
      </w:r>
      <w:r w:rsidRPr="001E101F">
        <w:t xml:space="preserve"> </w:t>
      </w:r>
      <w:r w:rsidR="001238A7" w:rsidRPr="001E101F">
        <w:t>R</w:t>
      </w:r>
      <w:r w:rsidRPr="001E101F">
        <w:t xml:space="preserve">ather, its lackluster performance is a function of the </w:t>
      </w:r>
      <w:r w:rsidR="001238A7" w:rsidRPr="001E101F">
        <w:t xml:space="preserve">inherent </w:t>
      </w:r>
      <w:r w:rsidRPr="001E101F">
        <w:t xml:space="preserve">difficulties of enforcement, which remains the </w:t>
      </w:r>
      <w:r w:rsidR="00E84840" w:rsidRPr="001E101F">
        <w:t>main</w:t>
      </w:r>
      <w:r w:rsidRPr="001E101F">
        <w:t xml:space="preserve"> challenge to realizing </w:t>
      </w:r>
      <w:r w:rsidR="001238A7" w:rsidRPr="001E101F">
        <w:t>environmental law’s</w:t>
      </w:r>
      <w:r w:rsidRPr="001E101F">
        <w:t xml:space="preserve"> ambition</w:t>
      </w:r>
      <w:r w:rsidR="008B6B2F" w:rsidRPr="001E101F">
        <w:t>s</w:t>
      </w:r>
      <w:r w:rsidRPr="001E101F">
        <w:t>.</w:t>
      </w:r>
      <w:r w:rsidR="00172768" w:rsidRPr="001E101F">
        <w:rPr>
          <w:rStyle w:val="FootnoteReference"/>
        </w:rPr>
        <w:footnoteReference w:id="6"/>
      </w:r>
      <w:r w:rsidRPr="001E101F">
        <w:t xml:space="preserve"> </w:t>
      </w:r>
      <w:r w:rsidR="0079492E" w:rsidRPr="001E101F">
        <w:t xml:space="preserve">Strengthen the capacity for enforcement, so they say, and environmental </w:t>
      </w:r>
      <w:r w:rsidR="00264B98" w:rsidRPr="001E101F">
        <w:t xml:space="preserve">law </w:t>
      </w:r>
      <w:r w:rsidR="0079492E" w:rsidRPr="001E101F">
        <w:t xml:space="preserve">will be better positioned to </w:t>
      </w:r>
      <w:r w:rsidR="00C125CA" w:rsidRPr="001E101F">
        <w:t>achieve</w:t>
      </w:r>
      <w:r w:rsidR="0079492E" w:rsidRPr="001E101F">
        <w:t xml:space="preserve"> its potential. </w:t>
      </w:r>
      <w:r w:rsidRPr="001E101F">
        <w:t xml:space="preserve">But for others, like the contributors to this special issue, </w:t>
      </w:r>
      <w:r w:rsidR="00740245" w:rsidRPr="001E101F">
        <w:t>matters of</w:t>
      </w:r>
      <w:r w:rsidR="001238A7" w:rsidRPr="001E101F">
        <w:t xml:space="preserve"> </w:t>
      </w:r>
      <w:r w:rsidRPr="001E101F">
        <w:t xml:space="preserve">enforcement </w:t>
      </w:r>
      <w:r w:rsidR="001238A7" w:rsidRPr="001E101F">
        <w:t xml:space="preserve">are secondary to </w:t>
      </w:r>
      <w:r w:rsidR="00740245" w:rsidRPr="001E101F">
        <w:t>fundamentally</w:t>
      </w:r>
      <w:r w:rsidR="001238A7" w:rsidRPr="001E101F">
        <w:t xml:space="preserve"> epistemological, ontological, and </w:t>
      </w:r>
      <w:r w:rsidR="00740245" w:rsidRPr="001E101F">
        <w:t>practical</w:t>
      </w:r>
      <w:r w:rsidR="001238A7" w:rsidRPr="001E101F">
        <w:t xml:space="preserve"> concerns </w:t>
      </w:r>
      <w:r w:rsidR="00740245" w:rsidRPr="001E101F">
        <w:t xml:space="preserve">about </w:t>
      </w:r>
      <w:r w:rsidR="001238A7" w:rsidRPr="001E101F">
        <w:t>environmental l</w:t>
      </w:r>
      <w:r w:rsidR="00740245" w:rsidRPr="001E101F">
        <w:t xml:space="preserve">aw that have made it ill-equipped to tackle the </w:t>
      </w:r>
      <w:proofErr w:type="gramStart"/>
      <w:r w:rsidR="00740245" w:rsidRPr="001E101F">
        <w:t>aforementioned existential</w:t>
      </w:r>
      <w:proofErr w:type="gramEnd"/>
      <w:r w:rsidR="00740245" w:rsidRPr="001E101F">
        <w:t xml:space="preserve"> crises.</w:t>
      </w:r>
    </w:p>
    <w:p w14:paraId="351AA882" w14:textId="4E11C692" w:rsidR="00B14A68" w:rsidRPr="001E101F" w:rsidRDefault="00740245" w:rsidP="001C5831">
      <w:pPr>
        <w:spacing w:line="480" w:lineRule="auto"/>
      </w:pPr>
      <w:r w:rsidRPr="001E101F">
        <w:tab/>
      </w:r>
      <w:r w:rsidR="0081304E" w:rsidRPr="001E101F">
        <w:t>Taking this tension as its starting point, Law and Nature urges deep reconsideration of erstwhile assumptions undergirding environmental law</w:t>
      </w:r>
      <w:r w:rsidR="006532A3" w:rsidRPr="001E101F">
        <w:t xml:space="preserve"> without presupposing how to overcome them</w:t>
      </w:r>
      <w:r w:rsidR="0081304E" w:rsidRPr="001E101F">
        <w:t xml:space="preserve">. </w:t>
      </w:r>
      <w:proofErr w:type="gramStart"/>
      <w:r w:rsidR="0081304E" w:rsidRPr="001E101F">
        <w:t>In particular, this</w:t>
      </w:r>
      <w:proofErr w:type="gramEnd"/>
      <w:r w:rsidR="0081304E" w:rsidRPr="001E101F">
        <w:t xml:space="preserve"> approach eschews the </w:t>
      </w:r>
      <w:r w:rsidR="001C4962" w:rsidRPr="001E101F">
        <w:t xml:space="preserve">hegemony of </w:t>
      </w:r>
      <w:r w:rsidR="0081304E" w:rsidRPr="001E101F">
        <w:t xml:space="preserve">Cartesian dualism that </w:t>
      </w:r>
      <w:r w:rsidR="001C4962" w:rsidRPr="001E101F">
        <w:t xml:space="preserve">has long held </w:t>
      </w:r>
      <w:r w:rsidR="0081304E" w:rsidRPr="001E101F">
        <w:t xml:space="preserve">humans </w:t>
      </w:r>
      <w:r w:rsidR="001C4962" w:rsidRPr="001E101F">
        <w:t xml:space="preserve">as separate </w:t>
      </w:r>
      <w:r w:rsidR="0081304E" w:rsidRPr="001E101F">
        <w:t xml:space="preserve">from nature and the </w:t>
      </w:r>
      <w:r w:rsidR="001C4962" w:rsidRPr="001E101F">
        <w:t xml:space="preserve">atomistic notion of </w:t>
      </w:r>
      <w:r w:rsidR="0081304E" w:rsidRPr="001E101F">
        <w:t>individualism that emerged as a cornerstone of human rights theorizing after the Second World War</w:t>
      </w:r>
      <w:r w:rsidR="001C4962" w:rsidRPr="001E101F">
        <w:t xml:space="preserve"> in favor of a radically </w:t>
      </w:r>
      <w:r w:rsidR="001C4962" w:rsidRPr="001E101F">
        <w:lastRenderedPageBreak/>
        <w:t xml:space="preserve">holistic, relational perspective. But in so doing, Law and Nature </w:t>
      </w:r>
      <w:proofErr w:type="gramStart"/>
      <w:r w:rsidR="001C4962" w:rsidRPr="001E101F">
        <w:t>animates</w:t>
      </w:r>
      <w:proofErr w:type="gramEnd"/>
      <w:r w:rsidR="001C4962" w:rsidRPr="001E101F">
        <w:t xml:space="preserve"> pragmatic and normative questions</w:t>
      </w:r>
      <w:r w:rsidR="006532A3" w:rsidRPr="001E101F">
        <w:t xml:space="preserve"> of first-order importance</w:t>
      </w:r>
      <w:r w:rsidR="001C4962" w:rsidRPr="001E101F">
        <w:t xml:space="preserve">—how </w:t>
      </w:r>
      <w:r w:rsidR="001C4962" w:rsidRPr="001E101F">
        <w:rPr>
          <w:i/>
          <w:iCs/>
        </w:rPr>
        <w:t>can</w:t>
      </w:r>
      <w:r w:rsidR="001C4962" w:rsidRPr="001E101F">
        <w:t xml:space="preserve"> nature be incorporated into the law and how </w:t>
      </w:r>
      <w:r w:rsidR="001C4962" w:rsidRPr="001E101F">
        <w:rPr>
          <w:i/>
          <w:iCs/>
        </w:rPr>
        <w:t>should</w:t>
      </w:r>
      <w:r w:rsidR="001C4962" w:rsidRPr="001E101F">
        <w:t xml:space="preserve"> nature be incorporated into the law? </w:t>
      </w:r>
      <w:r w:rsidR="00B14A68" w:rsidRPr="001E101F">
        <w:t>A potentially fruitful avenue for exploring how law and nature can come into greater contact can be seen in the rights of nature (</w:t>
      </w:r>
      <w:proofErr w:type="spellStart"/>
      <w:r w:rsidR="00B14A68" w:rsidRPr="001E101F">
        <w:t>RoN</w:t>
      </w:r>
      <w:proofErr w:type="spellEnd"/>
      <w:r w:rsidR="00B14A68" w:rsidRPr="001E101F">
        <w:t>).</w:t>
      </w:r>
      <w:r w:rsidR="00ED4200" w:rsidRPr="001E101F">
        <w:rPr>
          <w:rStyle w:val="FootnoteReference"/>
        </w:rPr>
        <w:footnoteReference w:id="7"/>
      </w:r>
      <w:r w:rsidR="00B14A68" w:rsidRPr="001E101F">
        <w:t xml:space="preserve"> More specifically, </w:t>
      </w:r>
      <w:proofErr w:type="spellStart"/>
      <w:r w:rsidR="00B14A68" w:rsidRPr="001E101F">
        <w:t>RoN</w:t>
      </w:r>
      <w:proofErr w:type="spellEnd"/>
      <w:r w:rsidR="00B14A68" w:rsidRPr="001E101F">
        <w:t xml:space="preserve"> may be seen as a logical extension of a Law and Nature approach because it: 1) steers society towards more formal recognition of the inherent value of non-human nature; 2) demands an interdisciplinary conversation among anthropologists, biologists, computer scientists, ecologists, lawyers and others as to how nature’s interests can be best observed and protected; and 3) recognizes nature as a viable legal subject while admitting a variety of perspectives on the ontological scope of nature itself. </w:t>
      </w:r>
    </w:p>
    <w:p w14:paraId="0953790A" w14:textId="457BEE84" w:rsidR="00AD3BA0" w:rsidRPr="001E101F" w:rsidRDefault="00B14A68" w:rsidP="001E101F">
      <w:pPr>
        <w:spacing w:line="480" w:lineRule="auto"/>
        <w:ind w:firstLine="720"/>
      </w:pPr>
      <w:r w:rsidRPr="001E101F">
        <w:t xml:space="preserve">In this essay, </w:t>
      </w:r>
      <w:r w:rsidR="001C4962" w:rsidRPr="001E101F">
        <w:t xml:space="preserve">I argue that </w:t>
      </w:r>
      <w:r w:rsidR="00BA37BA" w:rsidRPr="001E101F">
        <w:t xml:space="preserve">we can look to the </w:t>
      </w:r>
      <w:r w:rsidR="00F276B4" w:rsidRPr="001E101F">
        <w:t xml:space="preserve">diversity found within the </w:t>
      </w:r>
      <w:proofErr w:type="spellStart"/>
      <w:r w:rsidR="004F0C2C" w:rsidRPr="001E101F">
        <w:t>RoN</w:t>
      </w:r>
      <w:proofErr w:type="spellEnd"/>
      <w:r w:rsidR="004F0C2C" w:rsidRPr="001E101F">
        <w:t xml:space="preserve"> </w:t>
      </w:r>
      <w:r w:rsidR="00BA37BA" w:rsidRPr="001E101F">
        <w:t>movement</w:t>
      </w:r>
      <w:r w:rsidR="00E84840" w:rsidRPr="001E101F">
        <w:t>, design theory, technology, and Indigenous and non-Western ways of knowing</w:t>
      </w:r>
      <w:r w:rsidR="00BA37BA" w:rsidRPr="001E101F">
        <w:t xml:space="preserve"> for answers to the important </w:t>
      </w:r>
      <w:r w:rsidR="001C4962" w:rsidRPr="001E101F">
        <w:t>queries</w:t>
      </w:r>
      <w:r w:rsidRPr="001E101F">
        <w:t xml:space="preserve"> listed above</w:t>
      </w:r>
      <w:r w:rsidR="00BA37BA" w:rsidRPr="001E101F">
        <w:t xml:space="preserve">. To this end, I propose a </w:t>
      </w:r>
      <w:r w:rsidR="00E62315" w:rsidRPr="001E101F">
        <w:t xml:space="preserve">novel </w:t>
      </w:r>
      <w:r w:rsidR="00BA37BA" w:rsidRPr="001E101F">
        <w:t xml:space="preserve">framework that organizes approaches to protecting the </w:t>
      </w:r>
      <w:proofErr w:type="spellStart"/>
      <w:r w:rsidR="004F0C2C" w:rsidRPr="001E101F">
        <w:t>RoN</w:t>
      </w:r>
      <w:proofErr w:type="spellEnd"/>
      <w:r w:rsidR="00BA37BA" w:rsidRPr="001E101F">
        <w:t xml:space="preserve"> into three categories—form, mechanism, and orientation. The goal here is to canvass current knowledge about the </w:t>
      </w:r>
      <w:proofErr w:type="spellStart"/>
      <w:r w:rsidR="00012F58" w:rsidRPr="001E101F">
        <w:t>RoN</w:t>
      </w:r>
      <w:proofErr w:type="spellEnd"/>
      <w:r w:rsidR="00BA37BA" w:rsidRPr="001E101F">
        <w:t xml:space="preserve"> to </w:t>
      </w:r>
      <w:r w:rsidR="006532A3" w:rsidRPr="001E101F">
        <w:t xml:space="preserve">classify and </w:t>
      </w:r>
      <w:r w:rsidR="00BA37BA" w:rsidRPr="001E101F">
        <w:t xml:space="preserve">illuminate the variety of practices </w:t>
      </w:r>
      <w:r w:rsidR="006532A3" w:rsidRPr="001E101F">
        <w:t xml:space="preserve">contained therein. Ultimately, I surmise that </w:t>
      </w:r>
      <w:proofErr w:type="gramStart"/>
      <w:r w:rsidR="006532A3" w:rsidRPr="001E101F">
        <w:t>in order for</w:t>
      </w:r>
      <w:proofErr w:type="gramEnd"/>
      <w:r w:rsidR="006532A3" w:rsidRPr="001E101F">
        <w:t xml:space="preserve"> the burgeoning Law and Nature paradigm to signal a productive break from the dysfunction of </w:t>
      </w:r>
      <w:r w:rsidR="00F276B4" w:rsidRPr="001E101F">
        <w:t xml:space="preserve">modern </w:t>
      </w:r>
      <w:r w:rsidR="006532A3" w:rsidRPr="001E101F">
        <w:t xml:space="preserve">environmental law, it should embrace critical and emancipatory departures from dominant </w:t>
      </w:r>
      <w:r w:rsidR="00037B9A" w:rsidRPr="001E101F">
        <w:t xml:space="preserve">Western </w:t>
      </w:r>
      <w:r w:rsidR="006532A3" w:rsidRPr="001E101F">
        <w:t>legal thinking</w:t>
      </w:r>
      <w:r w:rsidR="00F276B4" w:rsidRPr="001E101F">
        <w:t>.</w:t>
      </w:r>
    </w:p>
    <w:p w14:paraId="6FE32820" w14:textId="77777777" w:rsidR="001442F4" w:rsidRPr="001E101F" w:rsidRDefault="001442F4" w:rsidP="001C5831">
      <w:pPr>
        <w:spacing w:line="480" w:lineRule="auto"/>
        <w:rPr>
          <w:b/>
          <w:bCs/>
        </w:rPr>
      </w:pPr>
    </w:p>
    <w:p w14:paraId="475E1D09" w14:textId="1EBA65E1" w:rsidR="00F32FC9" w:rsidRPr="001E101F" w:rsidRDefault="00AD3BA0" w:rsidP="001C5831">
      <w:pPr>
        <w:spacing w:line="480" w:lineRule="auto"/>
        <w:rPr>
          <w:b/>
          <w:bCs/>
        </w:rPr>
      </w:pPr>
      <w:r w:rsidRPr="001E101F">
        <w:rPr>
          <w:b/>
          <w:bCs/>
        </w:rPr>
        <w:t xml:space="preserve">2 </w:t>
      </w:r>
      <w:r w:rsidR="00FA39C2" w:rsidRPr="001E101F">
        <w:rPr>
          <w:b/>
          <w:bCs/>
        </w:rPr>
        <w:t>THE STATE OF KNOWLEDGE ON THE RIGHTS OF NATURE</w:t>
      </w:r>
    </w:p>
    <w:p w14:paraId="602CE043" w14:textId="71D8FFAB" w:rsidR="005B7B01" w:rsidRPr="001E101F" w:rsidRDefault="004D68B4" w:rsidP="001C5831">
      <w:pPr>
        <w:spacing w:line="480" w:lineRule="auto"/>
      </w:pPr>
      <w:r w:rsidRPr="001E101F">
        <w:lastRenderedPageBreak/>
        <w:t>Before articulating</w:t>
      </w:r>
      <w:r w:rsidR="00D35332" w:rsidRPr="001E101F">
        <w:t xml:space="preserve"> competing pathways to enacting the</w:t>
      </w:r>
      <w:r w:rsidRPr="001E101F">
        <w:t xml:space="preserve"> </w:t>
      </w:r>
      <w:proofErr w:type="spellStart"/>
      <w:r w:rsidR="00012F58" w:rsidRPr="001E101F">
        <w:t>RoN</w:t>
      </w:r>
      <w:proofErr w:type="spellEnd"/>
      <w:r w:rsidR="00D35332" w:rsidRPr="001E101F">
        <w:t xml:space="preserve">, </w:t>
      </w:r>
      <w:r w:rsidRPr="001E101F">
        <w:t xml:space="preserve">it may help to first review the state of theoretical and empirical knowledge on the subject. </w:t>
      </w:r>
      <w:r w:rsidR="00D35332" w:rsidRPr="001E101F">
        <w:t>To begin, s</w:t>
      </w:r>
      <w:r w:rsidRPr="001E101F">
        <w:t>cholarship o</w:t>
      </w:r>
      <w:r w:rsidR="00D35332" w:rsidRPr="001E101F">
        <w:t>n</w:t>
      </w:r>
      <w:r w:rsidRPr="001E101F">
        <w:t xml:space="preserve"> the </w:t>
      </w:r>
      <w:proofErr w:type="spellStart"/>
      <w:r w:rsidR="00012F58" w:rsidRPr="001E101F">
        <w:t>RoN</w:t>
      </w:r>
      <w:proofErr w:type="spellEnd"/>
      <w:r w:rsidRPr="001E101F">
        <w:t xml:space="preserve"> </w:t>
      </w:r>
      <w:r w:rsidR="00D35332" w:rsidRPr="001E101F">
        <w:t xml:space="preserve">has </w:t>
      </w:r>
      <w:r w:rsidR="00250710" w:rsidRPr="001E101F">
        <w:t xml:space="preserve">matured to the point that </w:t>
      </w:r>
      <w:r w:rsidR="00D35332" w:rsidRPr="001E101F">
        <w:t xml:space="preserve">several </w:t>
      </w:r>
      <w:r w:rsidR="00E84840" w:rsidRPr="001E101F">
        <w:t>central</w:t>
      </w:r>
      <w:r w:rsidR="00250710" w:rsidRPr="001E101F">
        <w:t xml:space="preserve"> </w:t>
      </w:r>
      <w:r w:rsidR="00D35332" w:rsidRPr="001E101F">
        <w:t>debates</w:t>
      </w:r>
      <w:r w:rsidR="00250710" w:rsidRPr="001E101F">
        <w:t xml:space="preserve"> can be identified</w:t>
      </w:r>
      <w:r w:rsidR="00D35332" w:rsidRPr="001E101F">
        <w:t xml:space="preserve">. </w:t>
      </w:r>
      <w:r w:rsidR="00250710" w:rsidRPr="001E101F">
        <w:t xml:space="preserve">First, experts have questioned whether the </w:t>
      </w:r>
      <w:proofErr w:type="spellStart"/>
      <w:r w:rsidR="00012F58" w:rsidRPr="001E101F">
        <w:t>RoN</w:t>
      </w:r>
      <w:proofErr w:type="spellEnd"/>
      <w:r w:rsidR="00250710" w:rsidRPr="001E101F">
        <w:t xml:space="preserve"> concept successfully overcomes the anthropocentric status of </w:t>
      </w:r>
      <w:r w:rsidR="00BC4FF0" w:rsidRPr="001E101F">
        <w:t xml:space="preserve">(mainly Western) </w:t>
      </w:r>
      <w:r w:rsidR="00250710" w:rsidRPr="001E101F">
        <w:t>law</w:t>
      </w:r>
      <w:r w:rsidR="00BC4FF0" w:rsidRPr="001E101F">
        <w:t>, which tends to privilege individual humans over non-human entities and the larger systems in which all are embedded</w:t>
      </w:r>
      <w:r w:rsidR="00250710" w:rsidRPr="001E101F">
        <w:t xml:space="preserve">. Some argue that it signals a post-human </w:t>
      </w:r>
      <w:r w:rsidR="008849CE" w:rsidRPr="001E101F">
        <w:t>turn</w:t>
      </w:r>
      <w:r w:rsidR="00250710" w:rsidRPr="001E101F">
        <w:t xml:space="preserve"> in how we conceive of rights</w:t>
      </w:r>
      <w:r w:rsidR="007323F3" w:rsidRPr="001E101F">
        <w:rPr>
          <w:rStyle w:val="FootnoteReference"/>
        </w:rPr>
        <w:footnoteReference w:id="8"/>
      </w:r>
      <w:r w:rsidR="00250710" w:rsidRPr="001E101F">
        <w:t xml:space="preserve"> and environmental law</w:t>
      </w:r>
      <w:r w:rsidR="008849CE" w:rsidRPr="001E101F">
        <w:t>,</w:t>
      </w:r>
      <w:r w:rsidR="00F81935" w:rsidRPr="001E101F">
        <w:rPr>
          <w:rStyle w:val="FootnoteReference"/>
        </w:rPr>
        <w:footnoteReference w:id="9"/>
      </w:r>
      <w:r w:rsidR="008849CE" w:rsidRPr="001E101F">
        <w:t xml:space="preserve"> whereas others contend that </w:t>
      </w:r>
      <w:proofErr w:type="spellStart"/>
      <w:r w:rsidR="00012F58" w:rsidRPr="001E101F">
        <w:t>RoN</w:t>
      </w:r>
      <w:proofErr w:type="spellEnd"/>
      <w:r w:rsidR="008849CE" w:rsidRPr="001E101F">
        <w:t xml:space="preserve"> only reif</w:t>
      </w:r>
      <w:r w:rsidR="0068596A" w:rsidRPr="001E101F">
        <w:t>y</w:t>
      </w:r>
      <w:r w:rsidR="008849CE" w:rsidRPr="001E101F">
        <w:t xml:space="preserve"> the hegemonic Western legal paradigm it seeks to disrupt.</w:t>
      </w:r>
      <w:r w:rsidR="001339E5" w:rsidRPr="001E101F">
        <w:rPr>
          <w:rStyle w:val="FootnoteReference"/>
        </w:rPr>
        <w:footnoteReference w:id="10"/>
      </w:r>
      <w:r w:rsidR="008849CE" w:rsidRPr="001E101F">
        <w:t xml:space="preserve"> </w:t>
      </w:r>
      <w:r w:rsidR="0068596A" w:rsidRPr="001E101F">
        <w:t xml:space="preserve">Second, </w:t>
      </w:r>
      <w:r w:rsidR="00ED5B58" w:rsidRPr="001E101F">
        <w:t>there is disagreement among legal theorists as to whether nature is a subject capable of possessing legal rights. Some find that natural entities do constitute legitimate rights-bearers,</w:t>
      </w:r>
      <w:r w:rsidR="003129D8" w:rsidRPr="001E101F">
        <w:rPr>
          <w:rStyle w:val="FootnoteReference"/>
        </w:rPr>
        <w:footnoteReference w:id="11"/>
      </w:r>
      <w:r w:rsidR="00ED5B58" w:rsidRPr="001E101F">
        <w:t xml:space="preserve"> while others maintain that nature cannot qualify as a legal person and is thus not eligible for legal rights.</w:t>
      </w:r>
      <w:r w:rsidR="003129D8" w:rsidRPr="001E101F">
        <w:rPr>
          <w:rStyle w:val="FootnoteReference"/>
        </w:rPr>
        <w:footnoteReference w:id="12"/>
      </w:r>
      <w:r w:rsidR="00ED5B58" w:rsidRPr="001E101F">
        <w:t xml:space="preserve"> </w:t>
      </w:r>
    </w:p>
    <w:p w14:paraId="0EA5AAA3" w14:textId="6AD37618" w:rsidR="00AB6299" w:rsidRPr="001E101F" w:rsidRDefault="009D1FE2" w:rsidP="001C5831">
      <w:pPr>
        <w:spacing w:line="480" w:lineRule="auto"/>
        <w:ind w:firstLine="720"/>
      </w:pPr>
      <w:r w:rsidRPr="001E101F">
        <w:t xml:space="preserve">Third, there exists a discrepancy as to whether the </w:t>
      </w:r>
      <w:proofErr w:type="spellStart"/>
      <w:r w:rsidR="00012F58" w:rsidRPr="001E101F">
        <w:t>RoN</w:t>
      </w:r>
      <w:proofErr w:type="spellEnd"/>
      <w:r w:rsidRPr="001E101F">
        <w:t xml:space="preserve"> is </w:t>
      </w:r>
      <w:proofErr w:type="spellStart"/>
      <w:r w:rsidRPr="001E101F">
        <w:t>ecocentric</w:t>
      </w:r>
      <w:proofErr w:type="spellEnd"/>
      <w:r w:rsidRPr="001E101F">
        <w:t>, meaning it values the whole of the environment</w:t>
      </w:r>
      <w:r w:rsidR="00BB40CA" w:rsidRPr="001E101F">
        <w:t xml:space="preserve"> </w:t>
      </w:r>
      <w:r w:rsidRPr="001E101F">
        <w:t xml:space="preserve">at once instead of assigning ethical weight to individual beings in nature. Some believe it is accurate to say that the </w:t>
      </w:r>
      <w:proofErr w:type="spellStart"/>
      <w:r w:rsidR="00012F58" w:rsidRPr="001E101F">
        <w:t>RoN</w:t>
      </w:r>
      <w:proofErr w:type="spellEnd"/>
      <w:r w:rsidRPr="001E101F">
        <w:t xml:space="preserve"> adopt this perspective</w:t>
      </w:r>
      <w:r w:rsidR="008330EB" w:rsidRPr="001E101F">
        <w:t>,</w:t>
      </w:r>
      <w:r w:rsidR="00BD3E70" w:rsidRPr="001E101F">
        <w:rPr>
          <w:rStyle w:val="FootnoteReference"/>
        </w:rPr>
        <w:footnoteReference w:id="13"/>
      </w:r>
      <w:r w:rsidRPr="001E101F">
        <w:t xml:space="preserve"> while others determine the claim to be false since nature’s rights often appear alongside the rights of other entities.</w:t>
      </w:r>
      <w:r w:rsidR="00BD3E70" w:rsidRPr="001E101F">
        <w:rPr>
          <w:rStyle w:val="FootnoteReference"/>
        </w:rPr>
        <w:footnoteReference w:id="14"/>
      </w:r>
      <w:r w:rsidRPr="001E101F">
        <w:t xml:space="preserve"> </w:t>
      </w:r>
      <w:r w:rsidR="00777F02" w:rsidRPr="001E101F">
        <w:t>Fourth, given the</w:t>
      </w:r>
      <w:r w:rsidR="00742AD6" w:rsidRPr="001E101F">
        <w:t>ir</w:t>
      </w:r>
      <w:r w:rsidR="00777F02" w:rsidRPr="001E101F">
        <w:t xml:space="preserve"> </w:t>
      </w:r>
      <w:r w:rsidR="00742AD6" w:rsidRPr="001E101F">
        <w:t>alleged spiritual</w:t>
      </w:r>
      <w:r w:rsidR="00777F02" w:rsidRPr="001E101F">
        <w:t xml:space="preserve"> origins </w:t>
      </w:r>
      <w:r w:rsidR="00742AD6" w:rsidRPr="001E101F">
        <w:t xml:space="preserve">and the Indigenous activism that </w:t>
      </w:r>
      <w:r w:rsidR="00742AD6" w:rsidRPr="001E101F">
        <w:lastRenderedPageBreak/>
        <w:t xml:space="preserve">contributed substantially to the codification </w:t>
      </w:r>
      <w:r w:rsidR="00777F02" w:rsidRPr="001E101F">
        <w:t xml:space="preserve">of </w:t>
      </w:r>
      <w:proofErr w:type="spellStart"/>
      <w:r w:rsidR="00012F58" w:rsidRPr="001E101F">
        <w:t>RoN</w:t>
      </w:r>
      <w:proofErr w:type="spellEnd"/>
      <w:r w:rsidR="00777F02" w:rsidRPr="001E101F">
        <w:t xml:space="preserve">, there is some dispute over whether </w:t>
      </w:r>
      <w:r w:rsidR="00742AD6" w:rsidRPr="001E101F">
        <w:t xml:space="preserve">the resulting legal </w:t>
      </w:r>
      <w:r w:rsidR="0005751E" w:rsidRPr="001E101F">
        <w:t>entitlements</w:t>
      </w:r>
      <w:r w:rsidR="00742AD6" w:rsidRPr="001E101F">
        <w:t xml:space="preserve"> accurately pay tribute to Indigenous worldviews. Some claim that Indigenous </w:t>
      </w:r>
      <w:proofErr w:type="spellStart"/>
      <w:r w:rsidR="00742AD6" w:rsidRPr="001E101F">
        <w:t>cosmovisions</w:t>
      </w:r>
      <w:proofErr w:type="spellEnd"/>
      <w:r w:rsidR="00742AD6" w:rsidRPr="001E101F">
        <w:t xml:space="preserve"> fundamentally informed the </w:t>
      </w:r>
      <w:r w:rsidR="0005751E" w:rsidRPr="001E101F">
        <w:t xml:space="preserve">content of </w:t>
      </w:r>
      <w:proofErr w:type="spellStart"/>
      <w:r w:rsidR="00012F58" w:rsidRPr="001E101F">
        <w:t>RoN</w:t>
      </w:r>
      <w:proofErr w:type="spellEnd"/>
      <w:r w:rsidR="00742AD6" w:rsidRPr="001E101F">
        <w:t xml:space="preserve"> </w:t>
      </w:r>
      <w:r w:rsidR="0005751E" w:rsidRPr="001E101F">
        <w:t>provisions</w:t>
      </w:r>
      <w:r w:rsidR="00742AD6" w:rsidRPr="001E101F">
        <w:t>,</w:t>
      </w:r>
      <w:r w:rsidR="00402C36" w:rsidRPr="001E101F">
        <w:rPr>
          <w:rStyle w:val="FootnoteReference"/>
        </w:rPr>
        <w:footnoteReference w:id="15"/>
      </w:r>
      <w:r w:rsidR="00742AD6" w:rsidRPr="001E101F">
        <w:t xml:space="preserve"> whereas critics charge that </w:t>
      </w:r>
      <w:proofErr w:type="spellStart"/>
      <w:r w:rsidR="00012F58" w:rsidRPr="001E101F">
        <w:t>RoN</w:t>
      </w:r>
      <w:proofErr w:type="spellEnd"/>
      <w:r w:rsidR="0005751E" w:rsidRPr="001E101F">
        <w:t xml:space="preserve"> contort Indigenous ideas to fit Western institutional molds.</w:t>
      </w:r>
      <w:r w:rsidR="00402C36" w:rsidRPr="001E101F">
        <w:rPr>
          <w:rStyle w:val="FootnoteReference"/>
        </w:rPr>
        <w:footnoteReference w:id="16"/>
      </w:r>
      <w:r w:rsidR="0005751E" w:rsidRPr="001E101F">
        <w:t xml:space="preserve"> Finally, as alluded to above, there is an ongoing discussion about whether the </w:t>
      </w:r>
      <w:proofErr w:type="spellStart"/>
      <w:r w:rsidR="00012F58" w:rsidRPr="001E101F">
        <w:t>RoN</w:t>
      </w:r>
      <w:proofErr w:type="spellEnd"/>
      <w:r w:rsidR="0005751E" w:rsidRPr="001E101F">
        <w:t xml:space="preserve"> </w:t>
      </w:r>
      <w:r w:rsidR="0055473D" w:rsidRPr="001E101F">
        <w:t>present a viable</w:t>
      </w:r>
      <w:r w:rsidR="0005751E" w:rsidRPr="001E101F">
        <w:t xml:space="preserve"> instrument </w:t>
      </w:r>
      <w:r w:rsidR="0055473D" w:rsidRPr="001E101F">
        <w:t>useful for</w:t>
      </w:r>
      <w:r w:rsidR="0005751E" w:rsidRPr="001E101F">
        <w:t xml:space="preserve"> protect</w:t>
      </w:r>
      <w:r w:rsidR="0055473D" w:rsidRPr="001E101F">
        <w:t>ing</w:t>
      </w:r>
      <w:r w:rsidR="0005751E" w:rsidRPr="001E101F">
        <w:t xml:space="preserve"> the environment. Some have shown that such rights</w:t>
      </w:r>
      <w:r w:rsidR="00F02F02" w:rsidRPr="001E101F">
        <w:t xml:space="preserve"> realiz</w:t>
      </w:r>
      <w:r w:rsidR="0055473D" w:rsidRPr="001E101F">
        <w:t>e</w:t>
      </w:r>
      <w:r w:rsidR="00F02F02" w:rsidRPr="001E101F">
        <w:t xml:space="preserve"> progressive gains towards improving </w:t>
      </w:r>
      <w:r w:rsidR="0055473D" w:rsidRPr="001E101F">
        <w:t xml:space="preserve">the </w:t>
      </w:r>
      <w:r w:rsidR="00F02F02" w:rsidRPr="001E101F">
        <w:t>environment</w:t>
      </w:r>
      <w:r w:rsidR="0055473D" w:rsidRPr="001E101F">
        <w:t xml:space="preserve"> </w:t>
      </w:r>
      <w:r w:rsidR="00F02F02" w:rsidRPr="001E101F">
        <w:t>by creating new norms and punishing violators</w:t>
      </w:r>
      <w:r w:rsidR="0005751E" w:rsidRPr="001E101F">
        <w:t>,</w:t>
      </w:r>
      <w:r w:rsidR="00402C36" w:rsidRPr="001E101F">
        <w:rPr>
          <w:rStyle w:val="FootnoteReference"/>
        </w:rPr>
        <w:footnoteReference w:id="17"/>
      </w:r>
      <w:r w:rsidR="0005751E" w:rsidRPr="001E101F">
        <w:t xml:space="preserve"> while others </w:t>
      </w:r>
      <w:r w:rsidR="00F02F02" w:rsidRPr="001E101F">
        <w:t>promote</w:t>
      </w:r>
      <w:r w:rsidR="0005751E" w:rsidRPr="001E101F">
        <w:t xml:space="preserve"> alternative </w:t>
      </w:r>
      <w:r w:rsidR="00F02F02" w:rsidRPr="001E101F">
        <w:t xml:space="preserve">strategies </w:t>
      </w:r>
      <w:r w:rsidR="0005751E" w:rsidRPr="001E101F">
        <w:t xml:space="preserve">such as </w:t>
      </w:r>
      <w:r w:rsidR="00F02F02" w:rsidRPr="001E101F">
        <w:t xml:space="preserve">specifying </w:t>
      </w:r>
      <w:r w:rsidR="0005751E" w:rsidRPr="001E101F">
        <w:t>duties,</w:t>
      </w:r>
      <w:r w:rsidR="00402C36" w:rsidRPr="001E101F">
        <w:rPr>
          <w:rStyle w:val="FootnoteReference"/>
        </w:rPr>
        <w:footnoteReference w:id="18"/>
      </w:r>
      <w:r w:rsidR="0005751E" w:rsidRPr="001E101F">
        <w:t xml:space="preserve"> </w:t>
      </w:r>
      <w:r w:rsidR="00F02F02" w:rsidRPr="001E101F">
        <w:t xml:space="preserve">pursuing </w:t>
      </w:r>
      <w:r w:rsidR="0005751E" w:rsidRPr="001E101F">
        <w:t>stronger rights for environmental organizations,</w:t>
      </w:r>
      <w:r w:rsidR="00BE5243" w:rsidRPr="001E101F">
        <w:rPr>
          <w:rStyle w:val="FootnoteReference"/>
        </w:rPr>
        <w:footnoteReference w:id="19"/>
      </w:r>
      <w:r w:rsidR="0005751E" w:rsidRPr="001E101F">
        <w:t xml:space="preserve"> and </w:t>
      </w:r>
      <w:r w:rsidR="00EC179E" w:rsidRPr="001E101F">
        <w:t>empowering First Nations peoples.</w:t>
      </w:r>
      <w:r w:rsidR="00BE5243" w:rsidRPr="001E101F">
        <w:rPr>
          <w:rStyle w:val="FootnoteReference"/>
        </w:rPr>
        <w:footnoteReference w:id="20"/>
      </w:r>
    </w:p>
    <w:p w14:paraId="14F2786A" w14:textId="55A49663" w:rsidR="003608A1" w:rsidRPr="001E101F" w:rsidRDefault="00A20323" w:rsidP="001C5831">
      <w:pPr>
        <w:spacing w:line="480" w:lineRule="auto"/>
        <w:ind w:firstLine="720"/>
      </w:pPr>
      <w:r w:rsidRPr="001E101F">
        <w:t>Relative to theoretical contributions, e</w:t>
      </w:r>
      <w:r w:rsidR="003608A1" w:rsidRPr="001E101F">
        <w:t xml:space="preserve">mpirical work on the </w:t>
      </w:r>
      <w:proofErr w:type="spellStart"/>
      <w:r w:rsidR="00012F58" w:rsidRPr="001E101F">
        <w:t>RoN</w:t>
      </w:r>
      <w:proofErr w:type="spellEnd"/>
      <w:r w:rsidR="003608A1" w:rsidRPr="001E101F">
        <w:t xml:space="preserve"> is </w:t>
      </w:r>
      <w:proofErr w:type="gramStart"/>
      <w:r w:rsidRPr="001E101F">
        <w:t>fairly new</w:t>
      </w:r>
      <w:proofErr w:type="gramEnd"/>
      <w:r w:rsidRPr="001E101F">
        <w:t xml:space="preserve"> and underdeveloped</w:t>
      </w:r>
      <w:r w:rsidR="003608A1" w:rsidRPr="001E101F">
        <w:t xml:space="preserve">. Yet, what research does exist helps </w:t>
      </w:r>
      <w:r w:rsidRPr="001E101F">
        <w:t xml:space="preserve">offers an initial view on the distribution and efficacy of these rights. </w:t>
      </w:r>
      <w:r w:rsidR="003608A1" w:rsidRPr="001E101F">
        <w:t>While small-N studies offer comparative analyses of court cases</w:t>
      </w:r>
      <w:r w:rsidR="000E67A2" w:rsidRPr="001E101F">
        <w:t>, legislative acts, or municipal ordinances</w:t>
      </w:r>
      <w:r w:rsidR="003608A1" w:rsidRPr="001E101F">
        <w:t xml:space="preserve"> involving the </w:t>
      </w:r>
      <w:proofErr w:type="spellStart"/>
      <w:r w:rsidR="00012F58" w:rsidRPr="001E101F">
        <w:t>RoN</w:t>
      </w:r>
      <w:proofErr w:type="spellEnd"/>
      <w:r w:rsidR="003608A1" w:rsidRPr="001E101F">
        <w:t xml:space="preserve">, </w:t>
      </w:r>
      <w:r w:rsidR="0060028D" w:rsidRPr="001E101F">
        <w:t xml:space="preserve">medium- and </w:t>
      </w:r>
      <w:r w:rsidR="003608A1" w:rsidRPr="001E101F">
        <w:t xml:space="preserve">large-N studies help to identify broader trends in the movement in terms of how such rights have emerged and the extent of their effectiveness. Such sources of evidence </w:t>
      </w:r>
      <w:r w:rsidR="00AE045C" w:rsidRPr="001E101F">
        <w:t xml:space="preserve">speak to the diverse ways in which </w:t>
      </w:r>
      <w:proofErr w:type="spellStart"/>
      <w:r w:rsidR="00012F58" w:rsidRPr="001E101F">
        <w:t>RoN</w:t>
      </w:r>
      <w:proofErr w:type="spellEnd"/>
      <w:r w:rsidR="00AE045C" w:rsidRPr="001E101F">
        <w:t xml:space="preserve"> have become entrenched in </w:t>
      </w:r>
      <w:r w:rsidR="006C0883" w:rsidRPr="001E101F">
        <w:t>jurisdictions at varying levels of governance</w:t>
      </w:r>
      <w:r w:rsidR="00AE045C" w:rsidRPr="001E101F">
        <w:t xml:space="preserve">. Here I briefly review some </w:t>
      </w:r>
      <w:r w:rsidR="00AE045C" w:rsidRPr="001E101F">
        <w:lastRenderedPageBreak/>
        <w:t>re</w:t>
      </w:r>
      <w:r w:rsidR="00373F41" w:rsidRPr="001E101F">
        <w:t>levant</w:t>
      </w:r>
      <w:r w:rsidR="00AE045C" w:rsidRPr="001E101F">
        <w:t xml:space="preserve"> scholarly efforts before elaborating on the framework that constitutes the main theoretical contribution of this essay.</w:t>
      </w:r>
    </w:p>
    <w:p w14:paraId="7B9287AF" w14:textId="51495C1D" w:rsidR="00AE045C" w:rsidRPr="001E101F" w:rsidRDefault="00AE045C" w:rsidP="001C5831">
      <w:pPr>
        <w:spacing w:line="480" w:lineRule="auto"/>
      </w:pPr>
      <w:r w:rsidRPr="001E101F">
        <w:tab/>
      </w:r>
      <w:r w:rsidR="00373F41" w:rsidRPr="001E101F">
        <w:t xml:space="preserve">In terms of works examining a few </w:t>
      </w:r>
      <w:r w:rsidR="000E67A2" w:rsidRPr="001E101F">
        <w:t xml:space="preserve">judicial or governmental decisions regarding the </w:t>
      </w:r>
      <w:proofErr w:type="spellStart"/>
      <w:r w:rsidR="00012F58" w:rsidRPr="001E101F">
        <w:t>RoN</w:t>
      </w:r>
      <w:proofErr w:type="spellEnd"/>
      <w:r w:rsidR="00373F41" w:rsidRPr="001E101F">
        <w:t xml:space="preserve"> on a comparative basis, </w:t>
      </w:r>
      <w:r w:rsidR="000E67A2" w:rsidRPr="001E101F">
        <w:t>several commonalities have been identified. First, court</w:t>
      </w:r>
      <w:r w:rsidR="00D72AE6" w:rsidRPr="001E101F">
        <w:t>s around the world</w:t>
      </w:r>
      <w:r w:rsidR="000E67A2" w:rsidRPr="001E101F">
        <w:t xml:space="preserve"> </w:t>
      </w:r>
      <w:r w:rsidR="00D00BFD" w:rsidRPr="001E101F">
        <w:t xml:space="preserve">often interpret an </w:t>
      </w:r>
      <w:r w:rsidR="000E67A2" w:rsidRPr="001E101F">
        <w:t>environmental entity</w:t>
      </w:r>
      <w:r w:rsidR="00D72AE6" w:rsidRPr="001E101F">
        <w:t xml:space="preserve"> </w:t>
      </w:r>
      <w:r w:rsidR="00D00BFD" w:rsidRPr="001E101F">
        <w:t>as either</w:t>
      </w:r>
      <w:r w:rsidR="000E67A2" w:rsidRPr="001E101F">
        <w:t xml:space="preserve"> a </w:t>
      </w:r>
      <w:r w:rsidR="0088586E" w:rsidRPr="001E101F">
        <w:t xml:space="preserve">legal person or a </w:t>
      </w:r>
      <w:r w:rsidR="000E67A2" w:rsidRPr="001E101F">
        <w:t>rights-bearing subject</w:t>
      </w:r>
      <w:r w:rsidR="00D72AE6" w:rsidRPr="001E101F">
        <w:t>.</w:t>
      </w:r>
      <w:r w:rsidR="006266FF" w:rsidRPr="001E101F">
        <w:rPr>
          <w:rStyle w:val="FootnoteReference"/>
        </w:rPr>
        <w:footnoteReference w:id="21"/>
      </w:r>
      <w:r w:rsidR="00D72AE6" w:rsidRPr="001E101F">
        <w:t xml:space="preserve"> </w:t>
      </w:r>
      <w:r w:rsidR="00D00BFD" w:rsidRPr="001E101F">
        <w:t xml:space="preserve">Second, the sources of legal reasoning employed in </w:t>
      </w:r>
      <w:proofErr w:type="spellStart"/>
      <w:r w:rsidR="00012F58" w:rsidRPr="001E101F">
        <w:t>RoN</w:t>
      </w:r>
      <w:proofErr w:type="spellEnd"/>
      <w:r w:rsidR="00D00BFD" w:rsidRPr="001E101F">
        <w:t xml:space="preserve"> cases </w:t>
      </w:r>
      <w:r w:rsidR="0025500D" w:rsidRPr="001E101F">
        <w:t xml:space="preserve">usually </w:t>
      </w:r>
      <w:r w:rsidR="00D00BFD" w:rsidRPr="001E101F">
        <w:t>evince a blend of domestic law, international law, and Indigenous or religious perspectives.</w:t>
      </w:r>
      <w:r w:rsidR="00344DDC" w:rsidRPr="001E101F">
        <w:rPr>
          <w:rStyle w:val="FootnoteReference"/>
        </w:rPr>
        <w:footnoteReference w:id="22"/>
      </w:r>
      <w:r w:rsidR="00D00BFD" w:rsidRPr="001E101F">
        <w:t xml:space="preserve"> Third</w:t>
      </w:r>
      <w:r w:rsidR="00D72AE6" w:rsidRPr="001E101F">
        <w:t xml:space="preserve">, </w:t>
      </w:r>
      <w:r w:rsidR="00CF4649" w:rsidRPr="001E101F">
        <w:t xml:space="preserve">at least </w:t>
      </w:r>
      <w:r w:rsidR="00D72AE6" w:rsidRPr="001E101F">
        <w:t xml:space="preserve">within Ecuador, courts have progressively established rules and procedures governing the specific rights of a range of natural entities, countering the charge that </w:t>
      </w:r>
      <w:proofErr w:type="spellStart"/>
      <w:r w:rsidR="00012F58" w:rsidRPr="001E101F">
        <w:t>RoN</w:t>
      </w:r>
      <w:proofErr w:type="spellEnd"/>
      <w:r w:rsidR="00D72AE6" w:rsidRPr="001E101F">
        <w:t xml:space="preserve"> are “merely symbolic and unimplemented.</w:t>
      </w:r>
      <w:r w:rsidR="00462801" w:rsidRPr="001E101F">
        <w:t>”</w:t>
      </w:r>
      <w:r w:rsidR="00E77C6F" w:rsidRPr="001E101F">
        <w:rPr>
          <w:rStyle w:val="FootnoteReference"/>
        </w:rPr>
        <w:footnoteReference w:id="23"/>
      </w:r>
      <w:r w:rsidR="00D72AE6" w:rsidRPr="001E101F">
        <w:t xml:space="preserve">  </w:t>
      </w:r>
    </w:p>
    <w:p w14:paraId="2E8CE986" w14:textId="7480617A" w:rsidR="0025500D" w:rsidRPr="001E101F" w:rsidRDefault="0025500D" w:rsidP="001C5831">
      <w:pPr>
        <w:spacing w:line="480" w:lineRule="auto"/>
      </w:pPr>
      <w:r w:rsidRPr="001E101F">
        <w:tab/>
        <w:t>With respect to scholarship that</w:t>
      </w:r>
      <w:r w:rsidR="009F3EC4" w:rsidRPr="001E101F">
        <w:t xml:space="preserve"> analyzes a larger set of cases or events, </w:t>
      </w:r>
      <w:r w:rsidR="000F3E11" w:rsidRPr="001E101F">
        <w:t xml:space="preserve">additional nuances about the proliferation and implementation of </w:t>
      </w:r>
      <w:proofErr w:type="spellStart"/>
      <w:r w:rsidR="00012F58" w:rsidRPr="001E101F">
        <w:t>RoN</w:t>
      </w:r>
      <w:proofErr w:type="spellEnd"/>
      <w:r w:rsidR="000F3E11" w:rsidRPr="001E101F">
        <w:t xml:space="preserve"> begin to emerge. First, </w:t>
      </w:r>
      <w:r w:rsidR="009E6B8B" w:rsidRPr="001E101F">
        <w:t xml:space="preserve">the vast majority of </w:t>
      </w:r>
      <w:proofErr w:type="spellStart"/>
      <w:r w:rsidR="00012F58" w:rsidRPr="001E101F">
        <w:t>RoN</w:t>
      </w:r>
      <w:proofErr w:type="spellEnd"/>
      <w:r w:rsidR="009E6B8B" w:rsidRPr="001E101F">
        <w:t xml:space="preserve"> initiatives come in the form of court rulings and local laws, whereas Indigenous law remains a far less common source for such rights. Next, nearly all efforts to recognize the </w:t>
      </w:r>
      <w:proofErr w:type="spellStart"/>
      <w:r w:rsidR="00012F58" w:rsidRPr="001E101F">
        <w:t>RoN</w:t>
      </w:r>
      <w:proofErr w:type="spellEnd"/>
      <w:r w:rsidR="009E6B8B" w:rsidRPr="001E101F">
        <w:t xml:space="preserve"> view nature </w:t>
      </w:r>
      <w:proofErr w:type="gramStart"/>
      <w:r w:rsidR="009E6B8B" w:rsidRPr="001E101F">
        <w:t>as a whole as</w:t>
      </w:r>
      <w:proofErr w:type="gramEnd"/>
      <w:r w:rsidR="009E6B8B" w:rsidRPr="001E101F">
        <w:t xml:space="preserve"> the main rights-bearing entity (as opposed to specific types of natural entities or animals). </w:t>
      </w:r>
      <w:r w:rsidR="00542958" w:rsidRPr="001E101F">
        <w:t>In addition</w:t>
      </w:r>
      <w:r w:rsidR="009E6B8B" w:rsidRPr="001E101F">
        <w:t xml:space="preserve">, </w:t>
      </w:r>
      <w:r w:rsidR="00542958" w:rsidRPr="001E101F">
        <w:t xml:space="preserve">generally, speaking, </w:t>
      </w:r>
      <w:r w:rsidR="009E6B8B" w:rsidRPr="001E101F">
        <w:t xml:space="preserve">there are three distinct ontological perspectives grounding the </w:t>
      </w:r>
      <w:proofErr w:type="spellStart"/>
      <w:r w:rsidR="00012F58" w:rsidRPr="001E101F">
        <w:t>RoN</w:t>
      </w:r>
      <w:proofErr w:type="spellEnd"/>
      <w:r w:rsidR="009E6B8B" w:rsidRPr="001E101F">
        <w:t>—legal personhood</w:t>
      </w:r>
      <w:r w:rsidR="0060028D" w:rsidRPr="001E101F">
        <w:t xml:space="preserve"> (i.e., treating nature as a person before the law)</w:t>
      </w:r>
      <w:r w:rsidR="009E6B8B" w:rsidRPr="001E101F">
        <w:t xml:space="preserve">, </w:t>
      </w:r>
      <w:r w:rsidR="00F7332C" w:rsidRPr="001E101F">
        <w:t>properties</w:t>
      </w:r>
      <w:r w:rsidR="0060028D" w:rsidRPr="001E101F">
        <w:t xml:space="preserve"> (i</w:t>
      </w:r>
      <w:r w:rsidR="00B2570B" w:rsidRPr="001E101F">
        <w:t>.</w:t>
      </w:r>
      <w:r w:rsidR="0060028D" w:rsidRPr="001E101F">
        <w:t>e., possessing human-like qualities)</w:t>
      </w:r>
      <w:r w:rsidR="00F7332C" w:rsidRPr="001E101F">
        <w:t>, and relations</w:t>
      </w:r>
      <w:r w:rsidR="0060028D" w:rsidRPr="001E101F">
        <w:t xml:space="preserve"> (i.e., being enmeshed in interdependent relationships)</w:t>
      </w:r>
      <w:r w:rsidR="00F7332C" w:rsidRPr="001E101F">
        <w:t>.</w:t>
      </w:r>
      <w:r w:rsidR="00871929" w:rsidRPr="001E101F">
        <w:rPr>
          <w:rStyle w:val="FootnoteReference"/>
        </w:rPr>
        <w:footnoteReference w:id="24"/>
      </w:r>
      <w:r w:rsidR="00542958" w:rsidRPr="001E101F">
        <w:t xml:space="preserve"> </w:t>
      </w:r>
      <w:r w:rsidR="0060028D" w:rsidRPr="001E101F">
        <w:t xml:space="preserve">Finally, the </w:t>
      </w:r>
      <w:r w:rsidR="00306DC4" w:rsidRPr="001E101F">
        <w:t xml:space="preserve">models of legal representation </w:t>
      </w:r>
      <w:r w:rsidR="004B2799" w:rsidRPr="001E101F">
        <w:t xml:space="preserve">serving </w:t>
      </w:r>
      <w:r w:rsidR="00306DC4" w:rsidRPr="001E101F">
        <w:t xml:space="preserve">on behalf of nature fall into two categories—public guardianship (i.e., where any person or legal entity can </w:t>
      </w:r>
      <w:r w:rsidR="00306DC4" w:rsidRPr="001E101F">
        <w:lastRenderedPageBreak/>
        <w:t>take action to protect nature’s rights) and appointed legal guardianship (i.e., where an officially sanctioned individual or organization acts indirectly or directly in the interest of environmental bodies).</w:t>
      </w:r>
      <w:r w:rsidR="00341FA5" w:rsidRPr="001E101F">
        <w:rPr>
          <w:rStyle w:val="FootnoteReference"/>
        </w:rPr>
        <w:footnoteReference w:id="25"/>
      </w:r>
      <w:r w:rsidR="00306DC4" w:rsidRPr="001E101F">
        <w:t xml:space="preserve"> </w:t>
      </w:r>
    </w:p>
    <w:p w14:paraId="7001674F" w14:textId="3BA0B557" w:rsidR="003608A1" w:rsidRPr="001E101F" w:rsidRDefault="00F4680D" w:rsidP="001C5831">
      <w:pPr>
        <w:spacing w:line="480" w:lineRule="auto"/>
      </w:pPr>
      <w:r w:rsidRPr="001E101F">
        <w:tab/>
        <w:t>This brief overview of rece</w:t>
      </w:r>
      <w:r w:rsidR="004D68B4" w:rsidRPr="001E101F">
        <w:t>nt</w:t>
      </w:r>
      <w:r w:rsidRPr="001E101F">
        <w:t xml:space="preserve"> literature </w:t>
      </w:r>
      <w:r w:rsidR="006C0883" w:rsidRPr="001E101F">
        <w:t xml:space="preserve">highlights some of the </w:t>
      </w:r>
      <w:r w:rsidR="00F15FE9" w:rsidRPr="001E101F">
        <w:t>most important</w:t>
      </w:r>
      <w:r w:rsidR="004D68B4" w:rsidRPr="001E101F">
        <w:t xml:space="preserve"> debates, </w:t>
      </w:r>
      <w:r w:rsidR="00B23A2C" w:rsidRPr="001E101F">
        <w:t>patterns</w:t>
      </w:r>
      <w:r w:rsidR="004D68B4" w:rsidRPr="001E101F">
        <w:t>,</w:t>
      </w:r>
      <w:r w:rsidR="00B23A2C" w:rsidRPr="001E101F">
        <w:t xml:space="preserve"> and sources of variation </w:t>
      </w:r>
      <w:r w:rsidR="004D68B4" w:rsidRPr="001E101F">
        <w:t>regarding</w:t>
      </w:r>
      <w:r w:rsidR="00B23A2C" w:rsidRPr="001E101F">
        <w:t xml:space="preserve"> the </w:t>
      </w:r>
      <w:r w:rsidR="004D68B4" w:rsidRPr="001E101F">
        <w:t xml:space="preserve">theory and practice of the </w:t>
      </w:r>
      <w:proofErr w:type="spellStart"/>
      <w:r w:rsidR="00012F58" w:rsidRPr="001E101F">
        <w:t>RoN</w:t>
      </w:r>
      <w:proofErr w:type="spellEnd"/>
      <w:r w:rsidR="00B23A2C" w:rsidRPr="001E101F">
        <w:t xml:space="preserve">. </w:t>
      </w:r>
      <w:r w:rsidR="00FB428D" w:rsidRPr="001E101F">
        <w:t>Next</w:t>
      </w:r>
      <w:r w:rsidR="00916CFC" w:rsidRPr="001E101F">
        <w:t>,</w:t>
      </w:r>
      <w:r w:rsidR="00FB428D" w:rsidRPr="001E101F">
        <w:t xml:space="preserve"> I summarize what I believe to be some of the most crucial points of departure for approaches to the </w:t>
      </w:r>
      <w:proofErr w:type="spellStart"/>
      <w:r w:rsidR="00012F58" w:rsidRPr="001E101F">
        <w:t>RoN</w:t>
      </w:r>
      <w:proofErr w:type="spellEnd"/>
      <w:r w:rsidR="00FB428D" w:rsidRPr="001E101F">
        <w:t xml:space="preserve">. They range from previously acknowledged to implicitly accounted for to insufficiently discussed by experts working on this subject. </w:t>
      </w:r>
      <w:r w:rsidR="00695535" w:rsidRPr="001E101F">
        <w:t>I describe each of these discriminating factors in detail below, providing indicative examples and explaining the practical significance of their differences along the way.</w:t>
      </w:r>
    </w:p>
    <w:p w14:paraId="78BF13BF" w14:textId="77777777" w:rsidR="001442F4" w:rsidRPr="001E101F" w:rsidRDefault="001442F4" w:rsidP="001C5831">
      <w:pPr>
        <w:spacing w:line="480" w:lineRule="auto"/>
        <w:rPr>
          <w:b/>
          <w:bCs/>
        </w:rPr>
      </w:pPr>
    </w:p>
    <w:p w14:paraId="7F1FD4E5" w14:textId="78874716" w:rsidR="003F043B" w:rsidRPr="001E101F" w:rsidRDefault="003F043B" w:rsidP="001C5831">
      <w:pPr>
        <w:spacing w:line="480" w:lineRule="auto"/>
        <w:rPr>
          <w:b/>
          <w:bCs/>
        </w:rPr>
      </w:pPr>
      <w:r w:rsidRPr="001E101F">
        <w:rPr>
          <w:b/>
          <w:bCs/>
        </w:rPr>
        <w:t xml:space="preserve">3 </w:t>
      </w:r>
      <w:r w:rsidR="008045F8" w:rsidRPr="001E101F">
        <w:rPr>
          <w:b/>
          <w:bCs/>
        </w:rPr>
        <w:t xml:space="preserve">A </w:t>
      </w:r>
      <w:r w:rsidRPr="001E101F">
        <w:rPr>
          <w:b/>
          <w:bCs/>
        </w:rPr>
        <w:t>FRAMEWORK</w:t>
      </w:r>
      <w:r w:rsidR="008045F8" w:rsidRPr="001E101F">
        <w:rPr>
          <w:b/>
          <w:bCs/>
        </w:rPr>
        <w:t xml:space="preserve"> FOR APPROACHES TO THE RIGHTS OF NATURE</w:t>
      </w:r>
    </w:p>
    <w:p w14:paraId="6914D3A0" w14:textId="67BD1AA5" w:rsidR="00E62315" w:rsidRPr="001E101F" w:rsidRDefault="00E62315" w:rsidP="001C5831">
      <w:pPr>
        <w:spacing w:line="480" w:lineRule="auto"/>
      </w:pPr>
      <w:r w:rsidRPr="001E101F">
        <w:t xml:space="preserve">The novel framework proposed here was arrived at inductively through an examination of extant </w:t>
      </w:r>
      <w:proofErr w:type="spellStart"/>
      <w:r w:rsidRPr="001E101F">
        <w:t>RoN</w:t>
      </w:r>
      <w:proofErr w:type="spellEnd"/>
      <w:r w:rsidRPr="001E101F">
        <w:t xml:space="preserve"> scholarship. It represents what I find to be the most prominent cleavages in theorizing about the </w:t>
      </w:r>
      <w:proofErr w:type="spellStart"/>
      <w:r w:rsidRPr="001E101F">
        <w:t>RoN</w:t>
      </w:r>
      <w:proofErr w:type="spellEnd"/>
      <w:r w:rsidRPr="001E101F">
        <w:t xml:space="preserve">. The three resulting </w:t>
      </w:r>
      <w:r w:rsidR="00CC4F09" w:rsidRPr="001E101F">
        <w:t>categories</w:t>
      </w:r>
      <w:r w:rsidRPr="001E101F">
        <w:t xml:space="preserve"> are presented below and arranged from the most widely discussed (i.e., form) to the least explicitly engaged in the literature (i.e., </w:t>
      </w:r>
      <w:r w:rsidR="00B22DC8" w:rsidRPr="001E101F">
        <w:t>orientation</w:t>
      </w:r>
      <w:r w:rsidRPr="001E101F">
        <w:t xml:space="preserve">). As such, while the framework is not intended to exhaustively cover all intellectual disputes in </w:t>
      </w:r>
      <w:proofErr w:type="spellStart"/>
      <w:r w:rsidRPr="001E101F">
        <w:t>RoN</w:t>
      </w:r>
      <w:proofErr w:type="spellEnd"/>
      <w:r w:rsidRPr="001E101F">
        <w:t xml:space="preserve"> theorizing, it offers a survey of some of the key longstanding and nascent tensions associated with the topic.</w:t>
      </w:r>
      <w:r w:rsidR="00E336F9" w:rsidRPr="001E101F">
        <w:t xml:space="preserve"> Finally, </w:t>
      </w:r>
      <w:r w:rsidR="00CC4F09" w:rsidRPr="001E101F">
        <w:t xml:space="preserve">it should be noted that the interactions between these categories are complex and not strictly either/or. For instance, one might conceive of an approach to </w:t>
      </w:r>
      <w:proofErr w:type="spellStart"/>
      <w:r w:rsidR="00CC4F09" w:rsidRPr="001E101F">
        <w:t>RoN</w:t>
      </w:r>
      <w:proofErr w:type="spellEnd"/>
      <w:r w:rsidR="00CC4F09" w:rsidRPr="001E101F">
        <w:t xml:space="preserve"> that involves legal rights (i.e., form) represented through non-anthropocentric means like bird migratory routes (i.e., mechanism) that are captured using animal tracking devices and machine </w:t>
      </w:r>
      <w:r w:rsidR="00CC4F09" w:rsidRPr="001E101F">
        <w:lastRenderedPageBreak/>
        <w:t>learning techniques (i.e., orientation). That is, there is substantial opportunity for variation across categories; the potential range of permutations is not exclusive.</w:t>
      </w:r>
    </w:p>
    <w:p w14:paraId="569B619F" w14:textId="6BCB15EB" w:rsidR="00AD3BA0" w:rsidRPr="001E101F" w:rsidRDefault="003F043B" w:rsidP="001C5831">
      <w:pPr>
        <w:spacing w:line="480" w:lineRule="auto"/>
        <w:rPr>
          <w:b/>
          <w:bCs/>
        </w:rPr>
      </w:pPr>
      <w:r w:rsidRPr="001E101F">
        <w:rPr>
          <w:b/>
          <w:bCs/>
        </w:rPr>
        <w:t>3</w:t>
      </w:r>
      <w:r w:rsidR="00AD3BA0" w:rsidRPr="001E101F">
        <w:rPr>
          <w:b/>
          <w:bCs/>
        </w:rPr>
        <w:t>.1 Form</w:t>
      </w:r>
    </w:p>
    <w:p w14:paraId="45DF98FE" w14:textId="718F5D26" w:rsidR="00F93848" w:rsidRPr="001E101F" w:rsidRDefault="008944A5" w:rsidP="001C5831">
      <w:pPr>
        <w:spacing w:line="480" w:lineRule="auto"/>
      </w:pPr>
      <w:r w:rsidRPr="001E101F">
        <w:t>T</w:t>
      </w:r>
      <w:r w:rsidR="00916CFC" w:rsidRPr="001E101F">
        <w:t xml:space="preserve">he </w:t>
      </w:r>
      <w:proofErr w:type="spellStart"/>
      <w:r w:rsidR="00012F58" w:rsidRPr="001E101F">
        <w:t>RoN</w:t>
      </w:r>
      <w:proofErr w:type="spellEnd"/>
      <w:r w:rsidR="00916CFC" w:rsidRPr="001E101F">
        <w:t xml:space="preserve"> movement </w:t>
      </w:r>
      <w:r w:rsidRPr="001E101F">
        <w:t xml:space="preserve">generally </w:t>
      </w:r>
      <w:r w:rsidR="00916CFC" w:rsidRPr="001E101F">
        <w:t>consist</w:t>
      </w:r>
      <w:r w:rsidR="00F14B70" w:rsidRPr="001E101F">
        <w:t>s</w:t>
      </w:r>
      <w:r w:rsidR="00916CFC" w:rsidRPr="001E101F">
        <w:t xml:space="preserve"> of two types of legal mechanisms intended to protect the environment—1) legal personhood of nature, and 2) legal rights </w:t>
      </w:r>
      <w:r w:rsidR="00DF69A5" w:rsidRPr="001E101F">
        <w:t>for</w:t>
      </w:r>
      <w:r w:rsidR="00916CFC" w:rsidRPr="001E101F">
        <w:t xml:space="preserve"> nature.</w:t>
      </w:r>
      <w:r w:rsidR="004B4765" w:rsidRPr="001E101F">
        <w:rPr>
          <w:rStyle w:val="FootnoteReference"/>
        </w:rPr>
        <w:footnoteReference w:id="26"/>
      </w:r>
      <w:r w:rsidR="00916CFC" w:rsidRPr="001E101F">
        <w:t xml:space="preserve"> The former merely permits nature to be considered a person under the law, with attendant rights yet undefined, whereas the latter explicitly extends specific rights to nature, often without designating nature a legal person. </w:t>
      </w:r>
      <w:r w:rsidR="008A3167" w:rsidRPr="001E101F">
        <w:t xml:space="preserve">According to the Eco Jurisprudence Monitor, legal </w:t>
      </w:r>
      <w:proofErr w:type="spellStart"/>
      <w:r w:rsidR="00012F58" w:rsidRPr="001E101F">
        <w:t>RoN</w:t>
      </w:r>
      <w:proofErr w:type="spellEnd"/>
      <w:r w:rsidR="008A3167" w:rsidRPr="001E101F">
        <w:t xml:space="preserve"> outnumber legal personhood of nature initiatives around the world on a 5</w:t>
      </w:r>
      <w:r w:rsidR="00E336F9" w:rsidRPr="001E101F">
        <w:t>.5</w:t>
      </w:r>
      <w:r w:rsidR="008A3167" w:rsidRPr="001E101F">
        <w:t>:1 basis.</w:t>
      </w:r>
      <w:r w:rsidR="004B4765" w:rsidRPr="001E101F">
        <w:rPr>
          <w:rStyle w:val="FootnoteReference"/>
        </w:rPr>
        <w:footnoteReference w:id="27"/>
      </w:r>
    </w:p>
    <w:p w14:paraId="6C649023" w14:textId="68FA6DB9" w:rsidR="00F93848" w:rsidRPr="001E101F" w:rsidRDefault="009A7A88" w:rsidP="001C5831">
      <w:pPr>
        <w:spacing w:line="480" w:lineRule="auto"/>
        <w:ind w:firstLine="720"/>
      </w:pPr>
      <w:r w:rsidRPr="001E101F">
        <w:t>As examples, consider the approaches taken by New Zealand and Ecuador. In</w:t>
      </w:r>
      <w:r w:rsidR="008944A5" w:rsidRPr="001E101F">
        <w:t xml:space="preserve"> </w:t>
      </w:r>
      <w:r w:rsidRPr="001E101F">
        <w:t>New Zealand</w:t>
      </w:r>
      <w:r w:rsidR="008944A5" w:rsidRPr="001E101F">
        <w:t xml:space="preserve">, the </w:t>
      </w:r>
      <w:proofErr w:type="spellStart"/>
      <w:r w:rsidR="008944A5" w:rsidRPr="001E101F">
        <w:t>Te</w:t>
      </w:r>
      <w:proofErr w:type="spellEnd"/>
      <w:r w:rsidR="008944A5" w:rsidRPr="001E101F">
        <w:t xml:space="preserve"> </w:t>
      </w:r>
      <w:proofErr w:type="spellStart"/>
      <w:r w:rsidR="008944A5" w:rsidRPr="001E101F">
        <w:t>Urewera</w:t>
      </w:r>
      <w:proofErr w:type="spellEnd"/>
      <w:r w:rsidR="008944A5" w:rsidRPr="001E101F">
        <w:t xml:space="preserve"> National Park was designated a legal person as part of a settlement over a treaty dispute between the </w:t>
      </w:r>
      <w:proofErr w:type="spellStart"/>
      <w:r w:rsidR="008944A5" w:rsidRPr="001E101F">
        <w:t>Maōri</w:t>
      </w:r>
      <w:proofErr w:type="spellEnd"/>
      <w:r w:rsidR="008944A5" w:rsidRPr="001E101F">
        <w:t xml:space="preserve"> and the national government.</w:t>
      </w:r>
      <w:r w:rsidR="004B4765" w:rsidRPr="001E101F">
        <w:rPr>
          <w:rStyle w:val="FootnoteReference"/>
        </w:rPr>
        <w:footnoteReference w:id="28"/>
      </w:r>
      <w:r w:rsidR="008944A5" w:rsidRPr="001E101F">
        <w:t xml:space="preserve"> The resulting legislative framework, the </w:t>
      </w:r>
      <w:proofErr w:type="spellStart"/>
      <w:r w:rsidR="008944A5" w:rsidRPr="001E101F">
        <w:t>Te</w:t>
      </w:r>
      <w:proofErr w:type="spellEnd"/>
      <w:r w:rsidR="008944A5" w:rsidRPr="001E101F">
        <w:t xml:space="preserve"> </w:t>
      </w:r>
      <w:proofErr w:type="spellStart"/>
      <w:r w:rsidR="008944A5" w:rsidRPr="001E101F">
        <w:t>Urewera</w:t>
      </w:r>
      <w:proofErr w:type="spellEnd"/>
      <w:r w:rsidR="008944A5" w:rsidRPr="001E101F">
        <w:t xml:space="preserve"> Act (2014), states: “</w:t>
      </w:r>
      <w:proofErr w:type="spellStart"/>
      <w:r w:rsidR="008944A5" w:rsidRPr="001E101F">
        <w:t>Te</w:t>
      </w:r>
      <w:proofErr w:type="spellEnd"/>
      <w:r w:rsidR="008944A5" w:rsidRPr="001E101F">
        <w:t xml:space="preserve"> </w:t>
      </w:r>
      <w:proofErr w:type="spellStart"/>
      <w:r w:rsidR="008944A5" w:rsidRPr="001E101F">
        <w:t>Urewera</w:t>
      </w:r>
      <w:proofErr w:type="spellEnd"/>
      <w:r w:rsidR="008944A5" w:rsidRPr="001E101F">
        <w:t xml:space="preserve"> is a legal entity and has all the rights, powers, duties, and liabilities of a legal person.”</w:t>
      </w:r>
      <w:r w:rsidR="005963B5" w:rsidRPr="001E101F">
        <w:rPr>
          <w:rStyle w:val="FootnoteReference"/>
        </w:rPr>
        <w:footnoteReference w:id="29"/>
      </w:r>
      <w:r w:rsidR="008944A5" w:rsidRPr="001E101F">
        <w:t xml:space="preserve"> In Ecuador, Chapter 7 of the country’s 2008 Constitution </w:t>
      </w:r>
      <w:r w:rsidR="0000559D" w:rsidRPr="001E101F">
        <w:t>enumerates direct legal rights possessed by nature. Article 71, for instance, reads: “Nature, or Pacha Mama, where life is reproduced and occurs, has the right to integral respect for its existence and for the maintenance and regeneration of its life cycles, structure, functions and evolutionary processes.</w:t>
      </w:r>
      <w:r w:rsidR="00F93848" w:rsidRPr="001E101F">
        <w:t>”</w:t>
      </w:r>
      <w:r w:rsidR="00F93848" w:rsidRPr="001E101F">
        <w:rPr>
          <w:rStyle w:val="FootnoteReference"/>
        </w:rPr>
        <w:footnoteReference w:id="30"/>
      </w:r>
    </w:p>
    <w:p w14:paraId="438F59FC" w14:textId="235EE198" w:rsidR="00AD3BA0" w:rsidRPr="001E101F" w:rsidRDefault="00916CFC" w:rsidP="001C5831">
      <w:pPr>
        <w:spacing w:line="480" w:lineRule="auto"/>
        <w:ind w:firstLine="720"/>
      </w:pPr>
      <w:r w:rsidRPr="001E101F">
        <w:lastRenderedPageBreak/>
        <w:t xml:space="preserve">According to Western legal theory, </w:t>
      </w:r>
      <w:r w:rsidR="0062432C" w:rsidRPr="001E101F">
        <w:t>legal personhood logically precedes the ascription of certain legal rights.</w:t>
      </w:r>
      <w:r w:rsidR="00FB75AB" w:rsidRPr="001E101F">
        <w:rPr>
          <w:rStyle w:val="FootnoteReference"/>
        </w:rPr>
        <w:footnoteReference w:id="31"/>
      </w:r>
      <w:r w:rsidR="009A7A88" w:rsidRPr="001E101F">
        <w:t xml:space="preserve"> </w:t>
      </w:r>
      <w:r w:rsidR="00F53AC9" w:rsidRPr="001E101F">
        <w:t xml:space="preserve">That is, one needs to be a legal person </w:t>
      </w:r>
      <w:proofErr w:type="gramStart"/>
      <w:r w:rsidR="00F53AC9" w:rsidRPr="001E101F">
        <w:t>in order to</w:t>
      </w:r>
      <w:proofErr w:type="gramEnd"/>
      <w:r w:rsidR="00F53AC9" w:rsidRPr="001E101F">
        <w:t xml:space="preserve"> </w:t>
      </w:r>
      <w:r w:rsidR="00F26D70" w:rsidRPr="001E101F">
        <w:t>enjoy the benefit of</w:t>
      </w:r>
      <w:r w:rsidR="00F53AC9" w:rsidRPr="001E101F">
        <w:t xml:space="preserve"> legal rights</w:t>
      </w:r>
      <w:r w:rsidR="00F26D70" w:rsidRPr="001E101F">
        <w:t xml:space="preserve"> and the burden of legal duties</w:t>
      </w:r>
      <w:r w:rsidR="00F53AC9" w:rsidRPr="001E101F">
        <w:t xml:space="preserve">. </w:t>
      </w:r>
      <w:r w:rsidR="00914761" w:rsidRPr="001E101F">
        <w:t>Under this approach, “legal personality is nothing more than the formal capacity[] to bear a legal right and so to participate in legal relations.</w:t>
      </w:r>
      <w:r w:rsidR="00FB75AB" w:rsidRPr="001E101F">
        <w:t>”</w:t>
      </w:r>
      <w:r w:rsidR="00FB75AB" w:rsidRPr="001E101F">
        <w:rPr>
          <w:rStyle w:val="FootnoteReference"/>
        </w:rPr>
        <w:footnoteReference w:id="32"/>
      </w:r>
      <w:r w:rsidR="00914761" w:rsidRPr="001E101F">
        <w:t xml:space="preserve"> </w:t>
      </w:r>
      <w:r w:rsidR="00F53AC9" w:rsidRPr="001E101F">
        <w:t>Corporate personhood in the United States follows such a sequence</w:t>
      </w:r>
      <w:r w:rsidR="00914761" w:rsidRPr="001E101F">
        <w:t xml:space="preserve">; </w:t>
      </w:r>
      <w:r w:rsidR="00F26D70" w:rsidRPr="001E101F">
        <w:t xml:space="preserve">in the absence of </w:t>
      </w:r>
      <w:r w:rsidR="00327147" w:rsidRPr="001E101F">
        <w:t>this legal</w:t>
      </w:r>
      <w:r w:rsidR="00F26D70" w:rsidRPr="001E101F">
        <w:t xml:space="preserve"> status, firms would lack the capacity to engage in market activities</w:t>
      </w:r>
      <w:r w:rsidR="00F53AC9" w:rsidRPr="001E101F">
        <w:t>.</w:t>
      </w:r>
      <w:r w:rsidR="00FB75AB" w:rsidRPr="001E101F">
        <w:rPr>
          <w:rStyle w:val="FootnoteReference"/>
        </w:rPr>
        <w:footnoteReference w:id="33"/>
      </w:r>
      <w:r w:rsidR="00F53AC9" w:rsidRPr="001E101F">
        <w:t xml:space="preserve"> </w:t>
      </w:r>
      <w:r w:rsidR="0063153F" w:rsidRPr="001E101F">
        <w:t xml:space="preserve">While legal personhood has </w:t>
      </w:r>
      <w:r w:rsidR="006F58D4" w:rsidRPr="001E101F">
        <w:t>been</w:t>
      </w:r>
      <w:r w:rsidR="0063153F" w:rsidRPr="001E101F">
        <w:t xml:space="preserve"> criticize</w:t>
      </w:r>
      <w:r w:rsidR="006F58D4" w:rsidRPr="001E101F">
        <w:t>d on ethical grounds for its</w:t>
      </w:r>
      <w:r w:rsidR="0063153F" w:rsidRPr="001E101F">
        <w:t xml:space="preserve"> record</w:t>
      </w:r>
      <w:r w:rsidR="006F58D4" w:rsidRPr="001E101F">
        <w:t xml:space="preserve"> of ontological exclusion</w:t>
      </w:r>
      <w:r w:rsidR="0063153F" w:rsidRPr="001E101F">
        <w:t>,</w:t>
      </w:r>
      <w:r w:rsidR="00FB75AB" w:rsidRPr="001E101F">
        <w:rPr>
          <w:rStyle w:val="FootnoteReference"/>
        </w:rPr>
        <w:footnoteReference w:id="34"/>
      </w:r>
      <w:r w:rsidR="0063153F" w:rsidRPr="001E101F">
        <w:t xml:space="preserve"> </w:t>
      </w:r>
      <w:r w:rsidR="009A7A88" w:rsidRPr="001E101F">
        <w:t>it is clearly possible to grant legal rights to a</w:t>
      </w:r>
      <w:r w:rsidR="006F58D4" w:rsidRPr="001E101F">
        <w:t xml:space="preserve"> nonhuman</w:t>
      </w:r>
      <w:r w:rsidR="009A7A88" w:rsidRPr="001E101F">
        <w:t xml:space="preserve"> entity without first declaring it a legal person</w:t>
      </w:r>
      <w:r w:rsidR="00F53AC9" w:rsidRPr="001E101F">
        <w:t>, as the example from Ecuador above illustrates</w:t>
      </w:r>
      <w:r w:rsidR="009A7A88" w:rsidRPr="001E101F">
        <w:t xml:space="preserve">. </w:t>
      </w:r>
      <w:r w:rsidR="00E944C3" w:rsidRPr="001E101F">
        <w:t xml:space="preserve">Whether doing so </w:t>
      </w:r>
      <w:r w:rsidR="009A7A88" w:rsidRPr="001E101F">
        <w:t>run</w:t>
      </w:r>
      <w:r w:rsidR="00E944C3" w:rsidRPr="001E101F">
        <w:t>s</w:t>
      </w:r>
      <w:r w:rsidR="009A7A88" w:rsidRPr="001E101F">
        <w:t xml:space="preserve"> afoul of </w:t>
      </w:r>
      <w:r w:rsidR="00E944C3" w:rsidRPr="001E101F">
        <w:t xml:space="preserve">accepted </w:t>
      </w:r>
      <w:r w:rsidR="009A7A88" w:rsidRPr="001E101F">
        <w:t xml:space="preserve">legal </w:t>
      </w:r>
      <w:r w:rsidR="00E944C3" w:rsidRPr="001E101F">
        <w:t>theory remains contested in the literature</w:t>
      </w:r>
      <w:r w:rsidR="00146C98" w:rsidRPr="001E101F">
        <w:t>, however</w:t>
      </w:r>
      <w:r w:rsidR="00341517" w:rsidRPr="001E101F">
        <w:t>.</w:t>
      </w:r>
      <w:r w:rsidR="00191282" w:rsidRPr="001E101F">
        <w:rPr>
          <w:rStyle w:val="FootnoteReference"/>
        </w:rPr>
        <w:footnoteReference w:id="35"/>
      </w:r>
      <w:r w:rsidR="00E944C3" w:rsidRPr="001E101F">
        <w:t xml:space="preserve"> </w:t>
      </w:r>
    </w:p>
    <w:p w14:paraId="6EDB3D84" w14:textId="06D5D375" w:rsidR="00E263F0" w:rsidRPr="001E101F" w:rsidRDefault="00B2570B" w:rsidP="001C5831">
      <w:pPr>
        <w:spacing w:line="480" w:lineRule="auto"/>
        <w:ind w:firstLine="720"/>
      </w:pPr>
      <w:r w:rsidRPr="001E101F">
        <w:t xml:space="preserve">The form that a </w:t>
      </w:r>
      <w:proofErr w:type="spellStart"/>
      <w:r w:rsidR="00012F58" w:rsidRPr="001E101F">
        <w:t>RoN</w:t>
      </w:r>
      <w:proofErr w:type="spellEnd"/>
      <w:r w:rsidRPr="001E101F">
        <w:t xml:space="preserve"> initiative takes holds implications for its effectiveness as a means of protecting the environment, although the difference observed </w:t>
      </w:r>
      <w:r w:rsidR="008539E4" w:rsidRPr="001E101F">
        <w:t>between</w:t>
      </w:r>
      <w:r w:rsidRPr="001E101F">
        <w:t xml:space="preserve"> the two main types remains unsettled due to a lack of empirical evidence. At a fundamental level, </w:t>
      </w:r>
      <w:r w:rsidR="008539E4" w:rsidRPr="001E101F">
        <w:t xml:space="preserve">the extension of </w:t>
      </w:r>
      <w:r w:rsidRPr="001E101F">
        <w:t>legal personhood in and of itself does not inherently produce environmentally beneficial outcomes. It merely permits nature to be recognized as a legal entity capable of legal relations</w:t>
      </w:r>
      <w:r w:rsidR="008539E4" w:rsidRPr="001E101F">
        <w:t xml:space="preserve">. However, the content of nature’s associated rights under this arrangement is opaque. By contrast, granting legal rights directly to nature renders explicit the kinds of entitlements to which the environment is owed. Still, express enumeration of nature’s rights does not necessarily translate </w:t>
      </w:r>
      <w:r w:rsidR="008539E4" w:rsidRPr="001E101F">
        <w:lastRenderedPageBreak/>
        <w:t xml:space="preserve">to tangible results on the ground, as the strength of these guarantees varies in accordance with the bindingness of the legal source where they are promulgated and the specificity of enacting laws and policies that indicate </w:t>
      </w:r>
      <w:r w:rsidR="00022570" w:rsidRPr="001E101F">
        <w:t xml:space="preserve">who the </w:t>
      </w:r>
      <w:r w:rsidR="008539E4" w:rsidRPr="001E101F">
        <w:t>responsible parties</w:t>
      </w:r>
      <w:r w:rsidR="00022570" w:rsidRPr="001E101F">
        <w:t xml:space="preserve"> are</w:t>
      </w:r>
      <w:r w:rsidR="008539E4" w:rsidRPr="001E101F">
        <w:t xml:space="preserve">, </w:t>
      </w:r>
      <w:r w:rsidR="00022570" w:rsidRPr="001E101F">
        <w:t xml:space="preserve">what </w:t>
      </w:r>
      <w:r w:rsidR="008539E4" w:rsidRPr="001E101F">
        <w:t xml:space="preserve">penalties </w:t>
      </w:r>
      <w:r w:rsidR="00022570" w:rsidRPr="001E101F">
        <w:t xml:space="preserve">exist </w:t>
      </w:r>
      <w:r w:rsidR="008539E4" w:rsidRPr="001E101F">
        <w:t>for violations</w:t>
      </w:r>
      <w:r w:rsidR="00022570" w:rsidRPr="001E101F">
        <w:t>, what resources may be provided to those representing nature’s interests, etc.</w:t>
      </w:r>
      <w:r w:rsidR="0083560A" w:rsidRPr="001E101F">
        <w:t xml:space="preserve"> </w:t>
      </w:r>
    </w:p>
    <w:p w14:paraId="295794D1" w14:textId="3885F9A4" w:rsidR="00916CFC" w:rsidRPr="001E101F" w:rsidRDefault="0083560A" w:rsidP="001C5831">
      <w:pPr>
        <w:spacing w:line="480" w:lineRule="auto"/>
        <w:ind w:firstLine="720"/>
      </w:pPr>
      <w:proofErr w:type="gramStart"/>
      <w:r w:rsidRPr="001E101F">
        <w:t>At the moment</w:t>
      </w:r>
      <w:proofErr w:type="gramEnd"/>
      <w:r w:rsidRPr="001E101F">
        <w:t xml:space="preserve">, the best available proxy for the comparative efficacy of forms of </w:t>
      </w:r>
      <w:proofErr w:type="spellStart"/>
      <w:r w:rsidR="00012F58" w:rsidRPr="001E101F">
        <w:t>RoN</w:t>
      </w:r>
      <w:proofErr w:type="spellEnd"/>
      <w:r w:rsidRPr="001E101F">
        <w:t xml:space="preserve"> initiatives lies in assessing their </w:t>
      </w:r>
      <w:r w:rsidR="0095253E" w:rsidRPr="001E101F">
        <w:t xml:space="preserve">acceptance and </w:t>
      </w:r>
      <w:r w:rsidRPr="001E101F">
        <w:t xml:space="preserve">durability. As of 2022, </w:t>
      </w:r>
      <w:r w:rsidR="0095253E" w:rsidRPr="001E101F">
        <w:t xml:space="preserve">76% of legal personhood efforts gained official approval compared with </w:t>
      </w:r>
      <w:r w:rsidRPr="001E101F">
        <w:t>7</w:t>
      </w:r>
      <w:r w:rsidR="00A66517" w:rsidRPr="001E101F">
        <w:t>9</w:t>
      </w:r>
      <w:r w:rsidRPr="001E101F">
        <w:t xml:space="preserve">% of </w:t>
      </w:r>
      <w:r w:rsidR="00705CCB" w:rsidRPr="001E101F">
        <w:t xml:space="preserve">those promoting </w:t>
      </w:r>
      <w:r w:rsidR="0095253E" w:rsidRPr="001E101F">
        <w:t>legal rights, while nearly 24% of the former were either rejected or overturned compared to 2</w:t>
      </w:r>
      <w:r w:rsidR="00A66517" w:rsidRPr="001E101F">
        <w:t>1</w:t>
      </w:r>
      <w:r w:rsidR="0095253E" w:rsidRPr="001E101F">
        <w:t>% of the latter.</w:t>
      </w:r>
      <w:r w:rsidR="00BD7C79" w:rsidRPr="001E101F">
        <w:rPr>
          <w:rStyle w:val="FootnoteReference"/>
        </w:rPr>
        <w:footnoteReference w:id="36"/>
      </w:r>
      <w:r w:rsidR="0095253E" w:rsidRPr="001E101F">
        <w:t xml:space="preserve"> That is to say, both legal personhood and legal rights for nature enjoy similar rates of success, operationalized both in terms of becoming instantiated in governing systems and avoiding rejection or being rolled back. Clearly more work needs to be done to analyze whether one form is more likely than another to obtain </w:t>
      </w:r>
      <w:r w:rsidR="0087007C" w:rsidRPr="001E101F">
        <w:t xml:space="preserve">the </w:t>
      </w:r>
      <w:r w:rsidR="004E6321" w:rsidRPr="001E101F">
        <w:t xml:space="preserve">kinds of </w:t>
      </w:r>
      <w:r w:rsidR="0087007C" w:rsidRPr="001E101F">
        <w:t>results</w:t>
      </w:r>
      <w:r w:rsidR="004E6321" w:rsidRPr="001E101F">
        <w:t xml:space="preserve"> desired by environmental advocates</w:t>
      </w:r>
      <w:r w:rsidR="00975736" w:rsidRPr="001E101F">
        <w:t>, however</w:t>
      </w:r>
      <w:r w:rsidR="0087007C" w:rsidRPr="001E101F">
        <w:t>.</w:t>
      </w:r>
    </w:p>
    <w:p w14:paraId="2FA7861C" w14:textId="77777777" w:rsidR="001442F4" w:rsidRPr="001E101F" w:rsidRDefault="001442F4" w:rsidP="001C5831">
      <w:pPr>
        <w:spacing w:line="480" w:lineRule="auto"/>
        <w:rPr>
          <w:b/>
          <w:bCs/>
        </w:rPr>
      </w:pPr>
    </w:p>
    <w:p w14:paraId="493958AD" w14:textId="556570DC" w:rsidR="00AD3BA0" w:rsidRPr="001E101F" w:rsidRDefault="003F043B" w:rsidP="001C5831">
      <w:pPr>
        <w:spacing w:line="480" w:lineRule="auto"/>
        <w:rPr>
          <w:b/>
          <w:bCs/>
        </w:rPr>
      </w:pPr>
      <w:r w:rsidRPr="001E101F">
        <w:rPr>
          <w:b/>
          <w:bCs/>
        </w:rPr>
        <w:t>3</w:t>
      </w:r>
      <w:r w:rsidR="00AD3BA0" w:rsidRPr="001E101F">
        <w:rPr>
          <w:b/>
          <w:bCs/>
        </w:rPr>
        <w:t>.2 Mechanism</w:t>
      </w:r>
    </w:p>
    <w:p w14:paraId="0D108A0F" w14:textId="79555E56" w:rsidR="00AD3BA0" w:rsidRPr="001E101F" w:rsidRDefault="00272B06" w:rsidP="001C5831">
      <w:pPr>
        <w:spacing w:line="480" w:lineRule="auto"/>
      </w:pPr>
      <w:r w:rsidRPr="001E101F">
        <w:t>One of the chief challenges intrinsic to protecting the rights of non</w:t>
      </w:r>
      <w:r w:rsidR="0032390F" w:rsidRPr="001E101F">
        <w:t>-</w:t>
      </w:r>
      <w:r w:rsidRPr="001E101F">
        <w:t>humans like nature involves finding a way to identify and represent their interests in human institutions. In theory, there are two different approaches that could be pursued. First, a</w:t>
      </w:r>
      <w:r w:rsidR="00F34FF6" w:rsidRPr="001E101F">
        <w:t xml:space="preserve"> descriptively</w:t>
      </w:r>
      <w:r w:rsidRPr="001E101F">
        <w:t xml:space="preserve"> anthropocentric</w:t>
      </w:r>
      <w:r w:rsidR="00E116C2" w:rsidRPr="001E101F">
        <w:rPr>
          <w:rStyle w:val="FootnoteReference"/>
        </w:rPr>
        <w:footnoteReference w:id="37"/>
      </w:r>
      <w:r w:rsidR="00F34FF6" w:rsidRPr="001E101F">
        <w:t xml:space="preserve"> </w:t>
      </w:r>
      <w:r w:rsidRPr="001E101F">
        <w:t xml:space="preserve">option might entail humans charged with knowing the status </w:t>
      </w:r>
      <w:r w:rsidR="00CB289A" w:rsidRPr="001E101F">
        <w:t xml:space="preserve">of </w:t>
      </w:r>
      <w:r w:rsidRPr="001E101F">
        <w:t xml:space="preserve">and speaking on behalf of nature. The idea here is that since nature cannot articulate its needs or know when its rights have been </w:t>
      </w:r>
      <w:r w:rsidRPr="001E101F">
        <w:lastRenderedPageBreak/>
        <w:t xml:space="preserve">infringed upon, we will need human surrogates designated to convey these issues in a manner intelligible to human decision-makers. </w:t>
      </w:r>
      <w:r w:rsidR="009F28C6" w:rsidRPr="001E101F">
        <w:t>To reiterate from above, w</w:t>
      </w:r>
      <w:r w:rsidRPr="001E101F">
        <w:t xml:space="preserve">e might further subdivide </w:t>
      </w:r>
      <w:r w:rsidR="00CB289A" w:rsidRPr="001E101F">
        <w:t xml:space="preserve">nature’s legal </w:t>
      </w:r>
      <w:r w:rsidR="005466FE" w:rsidRPr="001E101F">
        <w:t>representatives</w:t>
      </w:r>
      <w:r w:rsidR="00CB289A" w:rsidRPr="001E101F">
        <w:t xml:space="preserve"> into </w:t>
      </w:r>
      <w:r w:rsidR="00DD3949" w:rsidRPr="001E101F">
        <w:t>two categories</w:t>
      </w:r>
      <w:r w:rsidR="00CB289A" w:rsidRPr="001E101F">
        <w:t>.</w:t>
      </w:r>
      <w:r w:rsidR="00E116C2" w:rsidRPr="001E101F">
        <w:rPr>
          <w:rStyle w:val="FootnoteReference"/>
        </w:rPr>
        <w:footnoteReference w:id="38"/>
      </w:r>
      <w:r w:rsidR="00CB289A" w:rsidRPr="001E101F">
        <w:t xml:space="preserve"> </w:t>
      </w:r>
      <w:r w:rsidR="00AB414B" w:rsidRPr="001E101F">
        <w:t>Public guardians include all those individuals or collectives empowered by law to protect nature through public action</w:t>
      </w:r>
      <w:r w:rsidR="00DD3949" w:rsidRPr="001E101F">
        <w:t xml:space="preserve"> (i.e., </w:t>
      </w:r>
      <w:proofErr w:type="spellStart"/>
      <w:r w:rsidR="00DD3949" w:rsidRPr="001E101F">
        <w:rPr>
          <w:i/>
          <w:iCs/>
        </w:rPr>
        <w:t>actio</w:t>
      </w:r>
      <w:proofErr w:type="spellEnd"/>
      <w:r w:rsidR="00DD3949" w:rsidRPr="001E101F">
        <w:rPr>
          <w:i/>
          <w:iCs/>
        </w:rPr>
        <w:t xml:space="preserve"> </w:t>
      </w:r>
      <w:proofErr w:type="spellStart"/>
      <w:r w:rsidR="00DD3949" w:rsidRPr="001E101F">
        <w:rPr>
          <w:i/>
          <w:iCs/>
        </w:rPr>
        <w:t>popularis</w:t>
      </w:r>
      <w:proofErr w:type="spellEnd"/>
      <w:r w:rsidR="00DD3949" w:rsidRPr="001E101F">
        <w:t>)</w:t>
      </w:r>
      <w:r w:rsidR="00AB414B" w:rsidRPr="001E101F">
        <w:t>, as seen in Ecuador, where according to the Constitution “all persons, communities, peoples and nations can call upon public authorities to enforce rights of nature.</w:t>
      </w:r>
      <w:r w:rsidR="006E2076" w:rsidRPr="001E101F">
        <w:t>”</w:t>
      </w:r>
      <w:r w:rsidR="00B10276" w:rsidRPr="001E101F">
        <w:rPr>
          <w:rStyle w:val="FootnoteReference"/>
        </w:rPr>
        <w:footnoteReference w:id="39"/>
      </w:r>
      <w:r w:rsidR="00AB414B" w:rsidRPr="001E101F">
        <w:t xml:space="preserve"> Appointed guardians</w:t>
      </w:r>
      <w:r w:rsidR="00CB289A" w:rsidRPr="001E101F">
        <w:t xml:space="preserve"> include </w:t>
      </w:r>
      <w:r w:rsidR="00AB414B" w:rsidRPr="001E101F">
        <w:t xml:space="preserve">legal </w:t>
      </w:r>
      <w:r w:rsidR="00CB289A" w:rsidRPr="001E101F">
        <w:t xml:space="preserve">bodies or organizations explicitly created to represent the interests of nature, such as the </w:t>
      </w:r>
      <w:proofErr w:type="spellStart"/>
      <w:r w:rsidR="00CB289A" w:rsidRPr="001E101F">
        <w:t>Te</w:t>
      </w:r>
      <w:proofErr w:type="spellEnd"/>
      <w:r w:rsidR="00CB289A" w:rsidRPr="001E101F">
        <w:t xml:space="preserve"> </w:t>
      </w:r>
      <w:proofErr w:type="spellStart"/>
      <w:r w:rsidR="00CB289A" w:rsidRPr="001E101F">
        <w:t>Urewera</w:t>
      </w:r>
      <w:proofErr w:type="spellEnd"/>
      <w:r w:rsidR="00CB289A" w:rsidRPr="001E101F">
        <w:t xml:space="preserve"> Board in New Zealand (which oversees management of </w:t>
      </w:r>
      <w:proofErr w:type="spellStart"/>
      <w:r w:rsidR="00CB289A" w:rsidRPr="001E101F">
        <w:t>Te</w:t>
      </w:r>
      <w:proofErr w:type="spellEnd"/>
      <w:r w:rsidR="00CB289A" w:rsidRPr="001E101F">
        <w:t xml:space="preserve"> </w:t>
      </w:r>
      <w:proofErr w:type="spellStart"/>
      <w:r w:rsidR="00CB289A" w:rsidRPr="001E101F">
        <w:t>Urewera</w:t>
      </w:r>
      <w:proofErr w:type="spellEnd"/>
      <w:r w:rsidR="00CB289A" w:rsidRPr="001E101F">
        <w:t xml:space="preserve">, a legal person). </w:t>
      </w:r>
      <w:r w:rsidR="00144D34" w:rsidRPr="001E101F">
        <w:t xml:space="preserve">Second, a non-anthropocentric approach would require somehow determining the </w:t>
      </w:r>
      <w:r w:rsidR="00003A12" w:rsidRPr="001E101F">
        <w:t>interests of nature on its own accord and providing a means by which nature could express its will in proceedings where its rights are concerned.</w:t>
      </w:r>
      <w:r w:rsidR="00F34FF6" w:rsidRPr="001E101F">
        <w:t xml:space="preserve"> For instance, a trial could be conducted in the natural setting itself where the state of the environment could be perceived directly by judges or an Indigenous person who </w:t>
      </w:r>
      <w:r w:rsidR="00426ED7" w:rsidRPr="001E101F">
        <w:t xml:space="preserve">possesses </w:t>
      </w:r>
      <w:r w:rsidR="00F34FF6" w:rsidRPr="001E101F">
        <w:t xml:space="preserve">kinship </w:t>
      </w:r>
      <w:r w:rsidR="00426ED7" w:rsidRPr="001E101F">
        <w:t xml:space="preserve">relations </w:t>
      </w:r>
      <w:r w:rsidR="00F34FF6" w:rsidRPr="001E101F">
        <w:t xml:space="preserve">with the natural entity in question could channel </w:t>
      </w:r>
      <w:r w:rsidR="00233E75" w:rsidRPr="001E101F">
        <w:t xml:space="preserve">knowledge about its condition </w:t>
      </w:r>
      <w:r w:rsidR="00A2302A" w:rsidRPr="001E101F">
        <w:t>through</w:t>
      </w:r>
      <w:r w:rsidR="00233E75" w:rsidRPr="001E101F">
        <w:t xml:space="preserve"> a </w:t>
      </w:r>
      <w:r w:rsidR="00A2302A" w:rsidRPr="001E101F">
        <w:t>ceremony</w:t>
      </w:r>
      <w:r w:rsidR="00233E75" w:rsidRPr="001E101F">
        <w:t>.</w:t>
      </w:r>
    </w:p>
    <w:p w14:paraId="2FBB3C07" w14:textId="7FD5339B" w:rsidR="00AB414B" w:rsidRPr="001E101F" w:rsidRDefault="00AB414B" w:rsidP="001C5831">
      <w:pPr>
        <w:spacing w:line="480" w:lineRule="auto"/>
      </w:pPr>
      <w:r w:rsidRPr="001E101F">
        <w:tab/>
      </w:r>
      <w:r w:rsidR="00AF189E" w:rsidRPr="001E101F">
        <w:t xml:space="preserve">Perhaps unsurprisingly, scholarship on the </w:t>
      </w:r>
      <w:proofErr w:type="spellStart"/>
      <w:r w:rsidR="00012F58" w:rsidRPr="001E101F">
        <w:t>RoN</w:t>
      </w:r>
      <w:proofErr w:type="spellEnd"/>
      <w:r w:rsidR="00AF189E" w:rsidRPr="001E101F">
        <w:t xml:space="preserve"> has primarily </w:t>
      </w:r>
      <w:r w:rsidR="006B3E76" w:rsidRPr="001E101F">
        <w:t>advanced</w:t>
      </w:r>
      <w:r w:rsidR="00AF189E" w:rsidRPr="001E101F">
        <w:t xml:space="preserve"> anthropocentric </w:t>
      </w:r>
      <w:r w:rsidR="006B3E76" w:rsidRPr="001E101F">
        <w:t>solutions</w:t>
      </w:r>
      <w:r w:rsidR="00AF189E" w:rsidRPr="001E101F">
        <w:t xml:space="preserve"> instead of non-anthropocentric </w:t>
      </w:r>
      <w:r w:rsidR="006B3E76" w:rsidRPr="001E101F">
        <w:t>ones</w:t>
      </w:r>
      <w:r w:rsidR="00AF189E" w:rsidRPr="001E101F">
        <w:t xml:space="preserve"> (even </w:t>
      </w:r>
      <w:proofErr w:type="gramStart"/>
      <w:r w:rsidR="00AF189E" w:rsidRPr="001E101F">
        <w:t>taking into account</w:t>
      </w:r>
      <w:proofErr w:type="gramEnd"/>
      <w:r w:rsidR="00AF189E" w:rsidRPr="001E101F">
        <w:t xml:space="preserve"> efforts masquerading as the latter that actually fall into the former category). </w:t>
      </w:r>
      <w:r w:rsidR="0020464A" w:rsidRPr="001E101F">
        <w:t>This tendency has arguably stifled the development of less legalistic and more</w:t>
      </w:r>
      <w:r w:rsidR="00CF6EA9" w:rsidRPr="001E101F">
        <w:t xml:space="preserve"> </w:t>
      </w:r>
      <w:r w:rsidR="002F5052" w:rsidRPr="001E101F">
        <w:t>innovative</w:t>
      </w:r>
      <w:r w:rsidR="0020464A" w:rsidRPr="001E101F">
        <w:t xml:space="preserve"> avenues for </w:t>
      </w:r>
      <w:r w:rsidR="00940A18" w:rsidRPr="001E101F">
        <w:t>protecting</w:t>
      </w:r>
      <w:r w:rsidR="0020464A" w:rsidRPr="001E101F">
        <w:t xml:space="preserve"> nature. </w:t>
      </w:r>
      <w:r w:rsidR="001E5BE0" w:rsidRPr="001E101F">
        <w:t xml:space="preserve">For </w:t>
      </w:r>
      <w:r w:rsidR="006B3E76" w:rsidRPr="001E101F">
        <w:t>instance</w:t>
      </w:r>
      <w:r w:rsidR="001E5BE0" w:rsidRPr="001E101F">
        <w:t xml:space="preserve">, </w:t>
      </w:r>
      <w:r w:rsidR="006B3E76" w:rsidRPr="001E101F">
        <w:t xml:space="preserve">some contend that </w:t>
      </w:r>
      <w:r w:rsidR="001E5BE0" w:rsidRPr="001E101F">
        <w:t>the guardianship model adopted by</w:t>
      </w:r>
      <w:r w:rsidR="00D84594" w:rsidRPr="001E101F">
        <w:t xml:space="preserve"> several</w:t>
      </w:r>
      <w:r w:rsidR="001E5BE0" w:rsidRPr="001E101F">
        <w:t xml:space="preserve"> </w:t>
      </w:r>
      <w:proofErr w:type="spellStart"/>
      <w:r w:rsidR="00012F58" w:rsidRPr="001E101F">
        <w:t>RoN</w:t>
      </w:r>
      <w:proofErr w:type="spellEnd"/>
      <w:r w:rsidR="001E5BE0" w:rsidRPr="001E101F">
        <w:t xml:space="preserve"> initiatives “extend[</w:t>
      </w:r>
      <w:r w:rsidR="004D6C38" w:rsidRPr="001E101F">
        <w:t>s</w:t>
      </w:r>
      <w:r w:rsidR="001E5BE0" w:rsidRPr="001E101F">
        <w:t>] participation opportunities to the non-human world</w:t>
      </w:r>
      <w:r w:rsidR="004D6C38" w:rsidRPr="001E101F">
        <w:t>,</w:t>
      </w:r>
      <w:r w:rsidR="001E5BE0" w:rsidRPr="001E101F">
        <w:t xml:space="preserve">” thus </w:t>
      </w:r>
      <w:r w:rsidR="004D6C38" w:rsidRPr="001E101F">
        <w:t xml:space="preserve">serving as </w:t>
      </w:r>
      <w:r w:rsidR="001E5BE0" w:rsidRPr="001E101F">
        <w:t xml:space="preserve">an antidote to the anthropocentrism </w:t>
      </w:r>
      <w:r w:rsidR="00620D25" w:rsidRPr="001E101F">
        <w:t>common to</w:t>
      </w:r>
      <w:r w:rsidR="001E5BE0" w:rsidRPr="001E101F">
        <w:t xml:space="preserve"> environmental law.</w:t>
      </w:r>
      <w:r w:rsidR="009353E9" w:rsidRPr="001E101F">
        <w:rPr>
          <w:rStyle w:val="FootnoteReference"/>
        </w:rPr>
        <w:footnoteReference w:id="40"/>
      </w:r>
      <w:r w:rsidR="001E5BE0" w:rsidRPr="001E101F">
        <w:t xml:space="preserve"> </w:t>
      </w:r>
      <w:r w:rsidR="004D6C38" w:rsidRPr="001E101F">
        <w:t xml:space="preserve">But others have challenged this perspective, </w:t>
      </w:r>
      <w:r w:rsidR="004D6C38" w:rsidRPr="001E101F">
        <w:lastRenderedPageBreak/>
        <w:t>arguing that such indirect legal mechanisms rely on a “fiction…that the nonhumans can authorize and take responsibility for their representatives.</w:t>
      </w:r>
      <w:r w:rsidR="002424C6" w:rsidRPr="001E101F">
        <w:t>”</w:t>
      </w:r>
      <w:r w:rsidR="002424C6" w:rsidRPr="001E101F">
        <w:rPr>
          <w:rStyle w:val="FootnoteReference"/>
        </w:rPr>
        <w:footnoteReference w:id="41"/>
      </w:r>
      <w:r w:rsidR="004D6C38" w:rsidRPr="001E101F">
        <w:t xml:space="preserve"> This fiction suggests that what really matters in terms of representing the interests of nature is whether “the human audience of such claims accept them as valuable contributions to an ongoing process of representative democracy</w:t>
      </w:r>
      <w:r w:rsidR="0017758F" w:rsidRPr="001E101F">
        <w:t>.</w:t>
      </w:r>
      <w:r w:rsidR="002424C6" w:rsidRPr="001E101F">
        <w:t>”</w:t>
      </w:r>
      <w:r w:rsidR="002424C6" w:rsidRPr="001E101F">
        <w:rPr>
          <w:rStyle w:val="FootnoteReference"/>
        </w:rPr>
        <w:footnoteReference w:id="42"/>
      </w:r>
      <w:r w:rsidR="004D6C38" w:rsidRPr="001E101F">
        <w:t xml:space="preserve"> This rebuttal provides an interesting intervention because it </w:t>
      </w:r>
      <w:r w:rsidR="0017758F" w:rsidRPr="001E101F">
        <w:t>emphasizes the importance of those judging representative claims about the interests of nature, as opposed to the content of those claims (since non</w:t>
      </w:r>
      <w:r w:rsidR="00430979" w:rsidRPr="001E101F">
        <w:t>-</w:t>
      </w:r>
      <w:r w:rsidR="0017758F" w:rsidRPr="001E101F">
        <w:t xml:space="preserve">humans are not presently able to determine their validity). </w:t>
      </w:r>
      <w:r w:rsidR="00D84594" w:rsidRPr="001E101F">
        <w:t>Therefore, perhaps the kind of legal mechanism chosen to advance nature’s rights is less important than whether judges and juries buy the assertions made my humans on nature’s behalf.</w:t>
      </w:r>
    </w:p>
    <w:p w14:paraId="28D6A261" w14:textId="2891E974" w:rsidR="00D84594" w:rsidRPr="001E101F" w:rsidRDefault="008D0DC3" w:rsidP="001C5831">
      <w:pPr>
        <w:spacing w:line="480" w:lineRule="auto"/>
      </w:pPr>
      <w:r w:rsidRPr="001E101F">
        <w:tab/>
      </w:r>
      <w:r w:rsidR="006B3E76" w:rsidRPr="001E101F">
        <w:t xml:space="preserve">The non-anthropocentric approach takes the conversation about </w:t>
      </w:r>
      <w:proofErr w:type="spellStart"/>
      <w:r w:rsidR="00012F58" w:rsidRPr="001E101F">
        <w:t>RoN</w:t>
      </w:r>
      <w:proofErr w:type="spellEnd"/>
      <w:r w:rsidR="006B3E76" w:rsidRPr="001E101F">
        <w:t xml:space="preserve"> in an entirely different direction, one less wedded to the constraints of Western legal systems and thus more open to a wider range of representative possibilities. </w:t>
      </w:r>
      <w:r w:rsidRPr="001E101F">
        <w:t xml:space="preserve">I argue that productive proposals </w:t>
      </w:r>
      <w:r w:rsidR="006B3E76" w:rsidRPr="001E101F">
        <w:t xml:space="preserve">in this vein </w:t>
      </w:r>
      <w:r w:rsidRPr="001E101F">
        <w:t xml:space="preserve">can be found in design theory, specifically </w:t>
      </w:r>
      <w:r w:rsidR="00D84594" w:rsidRPr="001E101F">
        <w:t xml:space="preserve">design thinking and </w:t>
      </w:r>
      <w:r w:rsidRPr="001E101F">
        <w:t>more-than-human design</w:t>
      </w:r>
      <w:r w:rsidR="007A3F06" w:rsidRPr="001E101F">
        <w:t xml:space="preserve"> (MTHD)</w:t>
      </w:r>
      <w:r w:rsidRPr="001E101F">
        <w:t>. Under a design thinking perspective</w:t>
      </w:r>
      <w:r w:rsidR="005868AC" w:rsidRPr="001E101F">
        <w:t xml:space="preserve"> that begins with </w:t>
      </w:r>
      <w:r w:rsidR="00565E3C" w:rsidRPr="001E101F">
        <w:t xml:space="preserve">identifying </w:t>
      </w:r>
      <w:r w:rsidR="005868AC" w:rsidRPr="001E101F">
        <w:t xml:space="preserve">a problem instead of </w:t>
      </w:r>
      <w:r w:rsidR="00565E3C" w:rsidRPr="001E101F">
        <w:t xml:space="preserve">pursuing an </w:t>
      </w:r>
      <w:r w:rsidR="005868AC" w:rsidRPr="001E101F">
        <w:t>objective</w:t>
      </w:r>
      <w:r w:rsidRPr="001E101F">
        <w:t>,</w:t>
      </w:r>
      <w:r w:rsidR="00245C50" w:rsidRPr="001E101F">
        <w:rPr>
          <w:rStyle w:val="FootnoteReference"/>
        </w:rPr>
        <w:footnoteReference w:id="43"/>
      </w:r>
      <w:r w:rsidRPr="001E101F">
        <w:t xml:space="preserve"> the focus shifts from figuring out how to protect nature through existing legal avenues </w:t>
      </w:r>
      <w:r w:rsidR="000A14C9" w:rsidRPr="001E101F">
        <w:t xml:space="preserve">(i.e., </w:t>
      </w:r>
      <w:r w:rsidR="000A14C9" w:rsidRPr="001E101F">
        <w:rPr>
          <w:i/>
          <w:iCs/>
        </w:rPr>
        <w:t>de jure</w:t>
      </w:r>
      <w:r w:rsidR="000A14C9" w:rsidRPr="001E101F">
        <w:t xml:space="preserve">) </w:t>
      </w:r>
      <w:r w:rsidRPr="001E101F">
        <w:t xml:space="preserve">to </w:t>
      </w:r>
      <w:r w:rsidR="00565E3C" w:rsidRPr="001E101F">
        <w:t>determining nature’s needs and developing ways to satisfy them</w:t>
      </w:r>
      <w:r w:rsidR="000A14C9" w:rsidRPr="001E101F">
        <w:t xml:space="preserve"> (i.e., </w:t>
      </w:r>
      <w:r w:rsidR="000A14C9" w:rsidRPr="001E101F">
        <w:rPr>
          <w:i/>
          <w:iCs/>
        </w:rPr>
        <w:t>de facto</w:t>
      </w:r>
      <w:r w:rsidR="000A14C9" w:rsidRPr="001E101F">
        <w:t>)</w:t>
      </w:r>
      <w:r w:rsidR="00565E3C" w:rsidRPr="001E101F">
        <w:t xml:space="preserve">. Instead of </w:t>
      </w:r>
      <w:r w:rsidR="006B3E76" w:rsidRPr="001E101F">
        <w:t>legalizing</w:t>
      </w:r>
      <w:r w:rsidR="008352A5" w:rsidRPr="001E101F">
        <w:t xml:space="preserve"> </w:t>
      </w:r>
      <w:r w:rsidR="00565E3C" w:rsidRPr="001E101F">
        <w:t>rights for nature, by utilizing design thinking we might wind up with creative solutions that amount to “regulation by design</w:t>
      </w:r>
      <w:r w:rsidR="006B3E76" w:rsidRPr="001E101F">
        <w:t>,</w:t>
      </w:r>
      <w:r w:rsidR="00CA1D3C" w:rsidRPr="001E101F">
        <w:t>”</w:t>
      </w:r>
      <w:r w:rsidR="00CA1D3C" w:rsidRPr="001E101F">
        <w:rPr>
          <w:rStyle w:val="FootnoteReference"/>
        </w:rPr>
        <w:footnoteReference w:id="44"/>
      </w:r>
      <w:r w:rsidR="006B3E76" w:rsidRPr="001E101F">
        <w:t xml:space="preserve"> solving the problem of environmental degradation without </w:t>
      </w:r>
      <w:r w:rsidR="004E663A" w:rsidRPr="001E101F">
        <w:t xml:space="preserve">relying </w:t>
      </w:r>
      <w:r w:rsidR="006B3E76" w:rsidRPr="001E101F">
        <w:t xml:space="preserve">on the very systems of law </w:t>
      </w:r>
      <w:r w:rsidR="005A3B3C" w:rsidRPr="001E101F">
        <w:t xml:space="preserve">have </w:t>
      </w:r>
      <w:r w:rsidR="006B3E76" w:rsidRPr="001E101F">
        <w:t>that failed to prevent it</w:t>
      </w:r>
      <w:r w:rsidR="00565E3C" w:rsidRPr="001E101F">
        <w:t xml:space="preserve">. </w:t>
      </w:r>
      <w:r w:rsidR="00D84594" w:rsidRPr="001E101F">
        <w:t xml:space="preserve">Any prospective fixes would emerge from iterative processes that draw on insights about </w:t>
      </w:r>
      <w:r w:rsidR="00D84594" w:rsidRPr="001E101F">
        <w:lastRenderedPageBreak/>
        <w:t xml:space="preserve">nature’s unmet needs, observations from a variety of stakeholders, and empathy towards all who interact with and comprise nature. </w:t>
      </w:r>
    </w:p>
    <w:p w14:paraId="67E1B307" w14:textId="37592DE8" w:rsidR="00771ACE" w:rsidRPr="001E101F" w:rsidRDefault="00D84594" w:rsidP="001C5831">
      <w:pPr>
        <w:spacing w:line="480" w:lineRule="auto"/>
        <w:ind w:firstLine="720"/>
      </w:pPr>
      <w:r w:rsidRPr="001E101F">
        <w:t>M</w:t>
      </w:r>
      <w:r w:rsidR="007A3F06" w:rsidRPr="001E101F">
        <w:t>THD</w:t>
      </w:r>
      <w:r w:rsidRPr="001E101F">
        <w:t xml:space="preserve"> </w:t>
      </w:r>
      <w:r w:rsidR="00791F38" w:rsidRPr="001E101F">
        <w:t>recognizes the urgency of addressing challenges intrinsic to the Anthropocene and seeks to upend the hegemonic human-centered orientation of design.</w:t>
      </w:r>
      <w:r w:rsidR="004203EB" w:rsidRPr="001E101F">
        <w:rPr>
          <w:rStyle w:val="FootnoteReference"/>
        </w:rPr>
        <w:footnoteReference w:id="45"/>
      </w:r>
      <w:r w:rsidR="00791F38" w:rsidRPr="001E101F">
        <w:t xml:space="preserve"> </w:t>
      </w:r>
      <w:r w:rsidR="008E021C" w:rsidRPr="001E101F">
        <w:t xml:space="preserve">Crucially, it </w:t>
      </w:r>
      <w:r w:rsidR="00DF3812" w:rsidRPr="001E101F">
        <w:t xml:space="preserve">calls into question </w:t>
      </w:r>
      <w:r w:rsidR="008A7492" w:rsidRPr="001E101F">
        <w:t xml:space="preserve">hegemonic </w:t>
      </w:r>
      <w:r w:rsidR="00C71D84" w:rsidRPr="001E101F">
        <w:t xml:space="preserve">Western tropes </w:t>
      </w:r>
      <w:r w:rsidR="008A7492" w:rsidRPr="001E101F">
        <w:t xml:space="preserve">derived from Enlightenment thinkers like René Descartes and Immanuel Kant, </w:t>
      </w:r>
      <w:r w:rsidR="00C71D84" w:rsidRPr="001E101F">
        <w:t xml:space="preserve">such as </w:t>
      </w:r>
      <w:r w:rsidR="00DF3812" w:rsidRPr="001E101F">
        <w:t>the</w:t>
      </w:r>
      <w:r w:rsidR="008E021C" w:rsidRPr="001E101F">
        <w:t xml:space="preserve"> </w:t>
      </w:r>
      <w:r w:rsidR="00DF3812" w:rsidRPr="001E101F">
        <w:t>“familiar binaries</w:t>
      </w:r>
      <w:r w:rsidR="008E021C" w:rsidRPr="001E101F">
        <w:t xml:space="preserve"> </w:t>
      </w:r>
      <w:r w:rsidR="00DF3812" w:rsidRPr="001E101F">
        <w:t>of human and nonhuman, culture and nature, and human and animal”</w:t>
      </w:r>
      <w:r w:rsidR="004203EB" w:rsidRPr="001E101F">
        <w:rPr>
          <w:rStyle w:val="FootnoteReference"/>
        </w:rPr>
        <w:footnoteReference w:id="46"/>
      </w:r>
      <w:r w:rsidR="00C71D84" w:rsidRPr="001E101F">
        <w:t xml:space="preserve"> while honoring “the merits of </w:t>
      </w:r>
      <w:proofErr w:type="spellStart"/>
      <w:r w:rsidR="00C71D84" w:rsidRPr="001E101F">
        <w:t>relationalist</w:t>
      </w:r>
      <w:proofErr w:type="spellEnd"/>
      <w:r w:rsidR="00C71D84" w:rsidRPr="001E101F">
        <w:t xml:space="preserve"> worldviews pioneered by Indigenous and First Nations peoples</w:t>
      </w:r>
      <w:r w:rsidR="008E021C" w:rsidRPr="001E101F">
        <w:t>.</w:t>
      </w:r>
      <w:r w:rsidR="004203EB" w:rsidRPr="001E101F">
        <w:t>”</w:t>
      </w:r>
      <w:r w:rsidR="004203EB" w:rsidRPr="001E101F">
        <w:rPr>
          <w:rStyle w:val="FootnoteReference"/>
        </w:rPr>
        <w:footnoteReference w:id="47"/>
      </w:r>
      <w:r w:rsidR="008E021C" w:rsidRPr="001E101F">
        <w:t xml:space="preserve"> </w:t>
      </w:r>
      <w:r w:rsidR="00A92F62" w:rsidRPr="001E101F">
        <w:t>As a</w:t>
      </w:r>
      <w:r w:rsidR="00791F38" w:rsidRPr="001E101F">
        <w:t xml:space="preserve"> post-anthropocentric approach </w:t>
      </w:r>
      <w:r w:rsidR="00A92F62" w:rsidRPr="001E101F">
        <w:t xml:space="preserve">to design, it </w:t>
      </w:r>
      <w:r w:rsidRPr="001E101F">
        <w:t xml:space="preserve">invites non-humans to collaborate in </w:t>
      </w:r>
      <w:r w:rsidR="00791F38" w:rsidRPr="001E101F">
        <w:t>the creation of new imaginaries and new worlds</w:t>
      </w:r>
      <w:r w:rsidR="008A7492" w:rsidRPr="001E101F">
        <w:t xml:space="preserve"> by including the perspectives of such entities during the design process and treating them like clients, not mere objects or obstacles to the fulfillment of human needs</w:t>
      </w:r>
      <w:r w:rsidR="006E05A9" w:rsidRPr="001E101F">
        <w:t>. If we look beyond the agency of human actors and towards the affordances</w:t>
      </w:r>
      <w:r w:rsidR="002404A9" w:rsidRPr="001E101F">
        <w:rPr>
          <w:rStyle w:val="FootnoteReference"/>
        </w:rPr>
        <w:footnoteReference w:id="48"/>
      </w:r>
      <w:r w:rsidR="006E05A9" w:rsidRPr="001E101F">
        <w:t xml:space="preserve"> of more-than-human entities (along with the relations among them), exciting new possibilities for action emerge along with a wider range of design opportunities.</w:t>
      </w:r>
      <w:r w:rsidR="002404A9" w:rsidRPr="001E101F">
        <w:rPr>
          <w:rStyle w:val="FootnoteReference"/>
        </w:rPr>
        <w:footnoteReference w:id="49"/>
      </w:r>
      <w:r w:rsidR="006E05A9" w:rsidRPr="001E101F">
        <w:t xml:space="preserve"> </w:t>
      </w:r>
    </w:p>
    <w:p w14:paraId="6AB33F7A" w14:textId="2B468859" w:rsidR="008D0DC3" w:rsidRPr="001E101F" w:rsidRDefault="00AB207D" w:rsidP="001C5831">
      <w:pPr>
        <w:spacing w:line="480" w:lineRule="auto"/>
        <w:ind w:firstLine="720"/>
      </w:pPr>
      <w:r w:rsidRPr="001E101F">
        <w:t>As a</w:t>
      </w:r>
      <w:r w:rsidR="00EE2ED5" w:rsidRPr="001E101F">
        <w:t xml:space="preserve"> </w:t>
      </w:r>
      <w:r w:rsidRPr="001E101F">
        <w:t>(</w:t>
      </w:r>
      <w:r w:rsidR="00EE2ED5" w:rsidRPr="001E101F">
        <w:t>literally</w:t>
      </w:r>
      <w:r w:rsidRPr="001E101F">
        <w:t>)</w:t>
      </w:r>
      <w:r w:rsidR="00EE2ED5" w:rsidRPr="001E101F">
        <w:t xml:space="preserve"> concrete </w:t>
      </w:r>
      <w:r w:rsidRPr="001E101F">
        <w:t>example</w:t>
      </w:r>
      <w:r w:rsidR="00EE2ED5" w:rsidRPr="001E101F">
        <w:t>, i</w:t>
      </w:r>
      <w:r w:rsidR="006E05A9" w:rsidRPr="001E101F">
        <w:t xml:space="preserve">nstead of centering </w:t>
      </w:r>
      <w:r w:rsidRPr="001E101F">
        <w:t xml:space="preserve">building </w:t>
      </w:r>
      <w:r w:rsidR="006E05A9" w:rsidRPr="001E101F">
        <w:t xml:space="preserve">design exclusively on the needs of </w:t>
      </w:r>
      <w:r w:rsidR="00A92F62" w:rsidRPr="001E101F">
        <w:t xml:space="preserve">potential </w:t>
      </w:r>
      <w:r w:rsidR="006E05A9" w:rsidRPr="001E101F">
        <w:t xml:space="preserve">human occupants, </w:t>
      </w:r>
      <w:r w:rsidRPr="001E101F">
        <w:t>a more-than-human approach would</w:t>
      </w:r>
      <w:r w:rsidR="006E05A9" w:rsidRPr="001E101F">
        <w:t xml:space="preserve"> consider how birds, </w:t>
      </w:r>
      <w:r w:rsidR="006E05A9" w:rsidRPr="001E101F">
        <w:lastRenderedPageBreak/>
        <w:t xml:space="preserve">insects, and plants currently interact with the land where the building </w:t>
      </w:r>
      <w:r w:rsidRPr="001E101F">
        <w:t>will</w:t>
      </w:r>
      <w:r w:rsidR="006E05A9" w:rsidRPr="001E101F">
        <w:t xml:space="preserve"> be erected and accommodate those interests accordingly</w:t>
      </w:r>
      <w:r w:rsidR="00EE2ED5" w:rsidRPr="001E101F">
        <w:t xml:space="preserve"> (i.e., by creating outdoor breezeways and building around trees instead of uprooting them)</w:t>
      </w:r>
      <w:r w:rsidR="006E05A9" w:rsidRPr="001E101F">
        <w:t>.</w:t>
      </w:r>
      <w:r w:rsidR="00EE2ED5" w:rsidRPr="001E101F">
        <w:t xml:space="preserve"> </w:t>
      </w:r>
      <w:r w:rsidR="007A3F06" w:rsidRPr="001E101F">
        <w:t>Innovations along the lines envisioned by MTHD in the context of nature include the use of “</w:t>
      </w:r>
      <w:proofErr w:type="spellStart"/>
      <w:r w:rsidR="007A3F06" w:rsidRPr="001E101F">
        <w:t>ecosystemas</w:t>
      </w:r>
      <w:proofErr w:type="spellEnd"/>
      <w:r w:rsidR="007A3F06" w:rsidRPr="001E101F">
        <w:t>”</w:t>
      </w:r>
      <w:r w:rsidR="00C649A0" w:rsidRPr="001E101F">
        <w:rPr>
          <w:rStyle w:val="FootnoteReference"/>
        </w:rPr>
        <w:footnoteReference w:id="50"/>
      </w:r>
      <w:r w:rsidR="007A3F06" w:rsidRPr="001E101F">
        <w:t xml:space="preserve"> or “personas”</w:t>
      </w:r>
      <w:r w:rsidR="00C649A0" w:rsidRPr="001E101F">
        <w:rPr>
          <w:rStyle w:val="FootnoteReference"/>
        </w:rPr>
        <w:footnoteReference w:id="51"/>
      </w:r>
      <w:r w:rsidR="007A3F06" w:rsidRPr="001E101F">
        <w:t xml:space="preserve"> as representative archetypes of non-human communities, </w:t>
      </w:r>
      <w:r w:rsidR="00771ACE" w:rsidRPr="001E101F">
        <w:t>recording the interactions among non-humans in experimental settings,</w:t>
      </w:r>
      <w:r w:rsidR="00C649A0" w:rsidRPr="001E101F">
        <w:rPr>
          <w:rStyle w:val="FootnoteReference"/>
        </w:rPr>
        <w:footnoteReference w:id="52"/>
      </w:r>
      <w:r w:rsidR="00771ACE" w:rsidRPr="001E101F">
        <w:t xml:space="preserve"> and tracking nonhuman activity in real world context</w:t>
      </w:r>
      <w:r w:rsidR="00550F7A" w:rsidRPr="001E101F">
        <w:t>s</w:t>
      </w:r>
      <w:r w:rsidR="00771ACE" w:rsidRPr="001E101F">
        <w:t>.</w:t>
      </w:r>
      <w:r w:rsidR="00550F7A" w:rsidRPr="001E101F">
        <w:rPr>
          <w:rStyle w:val="FootnoteReference"/>
        </w:rPr>
        <w:footnoteReference w:id="53"/>
      </w:r>
      <w:r w:rsidR="00771ACE" w:rsidRPr="001E101F">
        <w:t xml:space="preserve"> </w:t>
      </w:r>
      <w:r w:rsidR="00450D87" w:rsidRPr="001E101F">
        <w:t xml:space="preserve">With respect to advancing the </w:t>
      </w:r>
      <w:proofErr w:type="spellStart"/>
      <w:r w:rsidR="00012F58" w:rsidRPr="001E101F">
        <w:t>RoN</w:t>
      </w:r>
      <w:proofErr w:type="spellEnd"/>
      <w:r w:rsidR="00450D87" w:rsidRPr="001E101F">
        <w:t>, a MTHD perspective would make use of these kind of tools to capture and prioritize nature’s interests in the process of design. Adopting this outlook would produce alternative solutions like wildlife crossings that encourage the free movement of animals</w:t>
      </w:r>
      <w:r w:rsidR="00B43645" w:rsidRPr="001E101F">
        <w:rPr>
          <w:rStyle w:val="FootnoteReference"/>
        </w:rPr>
        <w:footnoteReference w:id="54"/>
      </w:r>
      <w:r w:rsidR="0072090E" w:rsidRPr="001E101F">
        <w:t xml:space="preserve"> </w:t>
      </w:r>
      <w:r w:rsidR="00450D87" w:rsidRPr="001E101F">
        <w:t>while limiting harm to the integrity of the local ecosystem.</w:t>
      </w:r>
      <w:r w:rsidR="00B43645" w:rsidRPr="001E101F">
        <w:rPr>
          <w:rStyle w:val="FootnoteReference"/>
        </w:rPr>
        <w:footnoteReference w:id="55"/>
      </w:r>
    </w:p>
    <w:p w14:paraId="7A50DD51" w14:textId="76545AE2" w:rsidR="00AF189E" w:rsidRPr="001E101F" w:rsidRDefault="006F0879" w:rsidP="001C5831">
      <w:pPr>
        <w:spacing w:line="480" w:lineRule="auto"/>
        <w:ind w:firstLine="720"/>
      </w:pPr>
      <w:r w:rsidRPr="001E101F">
        <w:t xml:space="preserve">Of course, the non-anthropocentric position is not </w:t>
      </w:r>
      <w:r w:rsidR="00391A19" w:rsidRPr="001E101F">
        <w:t>impervious to criticism</w:t>
      </w:r>
      <w:r w:rsidRPr="001E101F">
        <w:t xml:space="preserve">. Humans are still the initiators (or </w:t>
      </w:r>
      <w:r w:rsidR="00A201AA" w:rsidRPr="001E101F">
        <w:t xml:space="preserve">mediators, in the case of Indigenous folks with strong kinship ties to nature) of processes intended to find ways to incorporate nature into human institutions. This makes the stance </w:t>
      </w:r>
      <w:r w:rsidR="00A201AA" w:rsidRPr="001E101F">
        <w:rPr>
          <w:i/>
          <w:iCs/>
        </w:rPr>
        <w:t>anthropogenic</w:t>
      </w:r>
      <w:r w:rsidR="00A201AA" w:rsidRPr="001E101F">
        <w:t xml:space="preserve"> at best. Further, while design thinking and MTHD make important post-anthropocentric strides, they improve </w:t>
      </w:r>
      <w:r w:rsidR="00050746" w:rsidRPr="001E101F">
        <w:t xml:space="preserve">the ethical outlook for future projects while remaining unable to attend to ongoing and past ecological injustices </w:t>
      </w:r>
      <w:r w:rsidR="00391A19" w:rsidRPr="001E101F">
        <w:t>for which design seems particularly ill-suited</w:t>
      </w:r>
      <w:r w:rsidR="00050746" w:rsidRPr="001E101F">
        <w:t xml:space="preserve"> to </w:t>
      </w:r>
      <w:r w:rsidR="00391A19" w:rsidRPr="001E101F">
        <w:t>remediate</w:t>
      </w:r>
      <w:r w:rsidR="00050746" w:rsidRPr="001E101F">
        <w:t>.</w:t>
      </w:r>
      <w:r w:rsidR="00391A19" w:rsidRPr="001E101F">
        <w:t xml:space="preserve"> </w:t>
      </w:r>
      <w:r w:rsidR="008B1AA0" w:rsidRPr="001E101F">
        <w:t>But even if we concede these objections</w:t>
      </w:r>
      <w:r w:rsidR="00A2302A" w:rsidRPr="001E101F">
        <w:t>,</w:t>
      </w:r>
      <w:r w:rsidR="008B1AA0" w:rsidRPr="001E101F">
        <w:t xml:space="preserve"> we might still prefer non-</w:t>
      </w:r>
      <w:r w:rsidR="008B1AA0" w:rsidRPr="001E101F">
        <w:lastRenderedPageBreak/>
        <w:t xml:space="preserve">anthropocentric mechanisms to anthropocentric variants </w:t>
      </w:r>
      <w:r w:rsidR="00251628" w:rsidRPr="001E101F">
        <w:t>for</w:t>
      </w:r>
      <w:r w:rsidR="008B1AA0" w:rsidRPr="001E101F">
        <w:t xml:space="preserve"> ethical </w:t>
      </w:r>
      <w:r w:rsidR="00251628" w:rsidRPr="001E101F">
        <w:t>reasons</w:t>
      </w:r>
      <w:r w:rsidR="008B1AA0" w:rsidRPr="001E101F">
        <w:t>, arriving at the reflexive middle ground of “ostensive humanism”</w:t>
      </w:r>
      <w:r w:rsidR="002A1158" w:rsidRPr="001E101F">
        <w:rPr>
          <w:rStyle w:val="FootnoteReference"/>
        </w:rPr>
        <w:footnoteReference w:id="56"/>
      </w:r>
      <w:r w:rsidR="008B1AA0" w:rsidRPr="001E101F">
        <w:t xml:space="preserve"> that admits the role that humans must play in redressing ecological devastation while simultaneously observing that these responsible beings are fundamentally inseparable from nature.</w:t>
      </w:r>
    </w:p>
    <w:p w14:paraId="069763A4" w14:textId="77777777" w:rsidR="001442F4" w:rsidRPr="001E101F" w:rsidRDefault="001442F4" w:rsidP="001C5831">
      <w:pPr>
        <w:spacing w:line="480" w:lineRule="auto"/>
        <w:rPr>
          <w:b/>
          <w:bCs/>
        </w:rPr>
      </w:pPr>
    </w:p>
    <w:p w14:paraId="188A95B1" w14:textId="48D0A003" w:rsidR="00AD3BA0" w:rsidRPr="001E101F" w:rsidRDefault="003F043B" w:rsidP="001C5831">
      <w:pPr>
        <w:spacing w:line="480" w:lineRule="auto"/>
        <w:rPr>
          <w:b/>
          <w:bCs/>
        </w:rPr>
      </w:pPr>
      <w:r w:rsidRPr="001E101F">
        <w:rPr>
          <w:b/>
          <w:bCs/>
        </w:rPr>
        <w:t>3</w:t>
      </w:r>
      <w:r w:rsidR="00AD3BA0" w:rsidRPr="001E101F">
        <w:rPr>
          <w:b/>
          <w:bCs/>
        </w:rPr>
        <w:t>.3 Orientation</w:t>
      </w:r>
    </w:p>
    <w:p w14:paraId="4ED0D188" w14:textId="14048EDD" w:rsidR="00EC0625" w:rsidRPr="001E101F" w:rsidRDefault="00F82796" w:rsidP="001C5831">
      <w:pPr>
        <w:spacing w:line="480" w:lineRule="auto"/>
      </w:pPr>
      <w:r w:rsidRPr="001E101F">
        <w:t xml:space="preserve">A third source of differentiation between approaches to </w:t>
      </w:r>
      <w:proofErr w:type="spellStart"/>
      <w:r w:rsidR="00012F58" w:rsidRPr="001E101F">
        <w:t>RoN</w:t>
      </w:r>
      <w:proofErr w:type="spellEnd"/>
      <w:r w:rsidRPr="001E101F">
        <w:t xml:space="preserve"> concerns their overall purpose and the means through which actors pursue their respective ultimate aims. T</w:t>
      </w:r>
      <w:r w:rsidR="009314C8" w:rsidRPr="001E101F">
        <w:t xml:space="preserve">his emergent bifurcation </w:t>
      </w:r>
      <w:r w:rsidRPr="001E101F">
        <w:t>fall</w:t>
      </w:r>
      <w:r w:rsidR="009314C8" w:rsidRPr="001E101F">
        <w:t>s</w:t>
      </w:r>
      <w:r w:rsidRPr="001E101F">
        <w:t xml:space="preserve"> into two categories—technocratic and cultural. </w:t>
      </w:r>
      <w:r w:rsidR="00B7478E" w:rsidRPr="001E101F">
        <w:t xml:space="preserve">For those in the former camp, the goal of </w:t>
      </w:r>
      <w:proofErr w:type="spellStart"/>
      <w:r w:rsidR="00012F58" w:rsidRPr="001E101F">
        <w:t>RoN</w:t>
      </w:r>
      <w:proofErr w:type="spellEnd"/>
      <w:r w:rsidR="00B7478E" w:rsidRPr="001E101F">
        <w:t xml:space="preserve"> is to obtain verifiable improvements in environmental quality through the technification</w:t>
      </w:r>
      <w:r w:rsidR="00CC65B3" w:rsidRPr="001E101F">
        <w:t xml:space="preserve"> </w:t>
      </w:r>
      <w:r w:rsidR="00B7478E" w:rsidRPr="001E101F">
        <w:t xml:space="preserve">of environmental management. Here, rights perform an instrumental role </w:t>
      </w:r>
      <w:r w:rsidR="007A6135" w:rsidRPr="001E101F">
        <w:t>by facilitating</w:t>
      </w:r>
      <w:r w:rsidR="00B7478E" w:rsidRPr="001E101F">
        <w:t xml:space="preserve"> the extension of technology into the environmental domain. For advocates of the technocratic perspective, technology offers a way of overcoming the enforcement problem identified by critics of </w:t>
      </w:r>
      <w:proofErr w:type="spellStart"/>
      <w:r w:rsidR="00012F58" w:rsidRPr="001E101F">
        <w:t>RoN</w:t>
      </w:r>
      <w:proofErr w:type="spellEnd"/>
      <w:r w:rsidR="00B7478E" w:rsidRPr="001E101F">
        <w:t xml:space="preserve"> by increasing environmental monitoring, scientifically determining and validating specific rights of natural entities, and detecting violations in real-time</w:t>
      </w:r>
      <w:r w:rsidR="004246BC" w:rsidRPr="001E101F">
        <w:t xml:space="preserve"> through the accumulation of Big Data</w:t>
      </w:r>
      <w:r w:rsidR="00B7478E" w:rsidRPr="001E101F">
        <w:t xml:space="preserve">. </w:t>
      </w:r>
      <w:r w:rsidR="00EC0625" w:rsidRPr="001E101F">
        <w:t xml:space="preserve">This perspective involves as much a </w:t>
      </w:r>
      <w:r w:rsidR="00EC0625" w:rsidRPr="001E101F">
        <w:rPr>
          <w:i/>
          <w:iCs/>
        </w:rPr>
        <w:t>scientization</w:t>
      </w:r>
      <w:r w:rsidR="00EC0625" w:rsidRPr="001E101F">
        <w:t xml:space="preserve"> of the </w:t>
      </w:r>
      <w:proofErr w:type="spellStart"/>
      <w:r w:rsidR="00012F58" w:rsidRPr="001E101F">
        <w:t>RoN</w:t>
      </w:r>
      <w:proofErr w:type="spellEnd"/>
      <w:r w:rsidR="00EC0625" w:rsidRPr="001E101F">
        <w:t xml:space="preserve"> as it does a </w:t>
      </w:r>
      <w:r w:rsidR="00EC0625" w:rsidRPr="001E101F">
        <w:rPr>
          <w:i/>
          <w:iCs/>
        </w:rPr>
        <w:t>legalization</w:t>
      </w:r>
      <w:r w:rsidR="00EC0625" w:rsidRPr="001E101F">
        <w:t xml:space="preserve"> of Earth system sciences</w:t>
      </w:r>
      <w:r w:rsidR="001B6CD9" w:rsidRPr="001E101F">
        <w:t xml:space="preserve">. An example of the technocratic approach can be seen in the 2021 </w:t>
      </w:r>
      <w:r w:rsidR="001B6CD9" w:rsidRPr="001E101F">
        <w:rPr>
          <w:i/>
          <w:iCs/>
        </w:rPr>
        <w:t>Los Cedros</w:t>
      </w:r>
      <w:r w:rsidR="001B6CD9" w:rsidRPr="001E101F">
        <w:t xml:space="preserve"> case, in which Ecuador’s Constitutional Court, in order to understand the kinds of rights at issue with respect to a forest ecosystem,</w:t>
      </w:r>
      <w:r w:rsidR="00EC0625" w:rsidRPr="001E101F">
        <w:t xml:space="preserve"> </w:t>
      </w:r>
      <w:r w:rsidR="001B6CD9" w:rsidRPr="001E101F">
        <w:t>relied substantially on the testimony of scientists, concepts like biological species, and scientifically-informed norms like the precautionary principle</w:t>
      </w:r>
      <w:r w:rsidR="00EC0625" w:rsidRPr="001E101F">
        <w:t>.</w:t>
      </w:r>
      <w:r w:rsidR="000D4EE4" w:rsidRPr="001E101F">
        <w:rPr>
          <w:rStyle w:val="FootnoteReference"/>
        </w:rPr>
        <w:footnoteReference w:id="57"/>
      </w:r>
      <w:r w:rsidR="00D534A0" w:rsidRPr="001E101F">
        <w:t xml:space="preserve"> An even more </w:t>
      </w:r>
      <w:r w:rsidR="00B0086B" w:rsidRPr="001E101F">
        <w:t xml:space="preserve">thoroughly </w:t>
      </w:r>
      <w:r w:rsidR="00D534A0" w:rsidRPr="001E101F">
        <w:t xml:space="preserve">technocratic proposal recommends </w:t>
      </w:r>
      <w:r w:rsidR="006428FF" w:rsidRPr="001E101F">
        <w:t xml:space="preserve">granting </w:t>
      </w:r>
      <w:r w:rsidR="006428FF" w:rsidRPr="001E101F">
        <w:lastRenderedPageBreak/>
        <w:t>“environmental copyrights” to numerical ocean models whose moral rights might be considered violated when the integrity of the ocean ecosystem exceeds formally determined planetary boundaries.</w:t>
      </w:r>
      <w:r w:rsidR="003E1E67" w:rsidRPr="001E101F">
        <w:rPr>
          <w:rStyle w:val="FootnoteReference"/>
        </w:rPr>
        <w:footnoteReference w:id="58"/>
      </w:r>
    </w:p>
    <w:p w14:paraId="3374C5B6" w14:textId="3DF0DA29" w:rsidR="002D0C8A" w:rsidRPr="001E101F" w:rsidRDefault="00307455" w:rsidP="001C5831">
      <w:pPr>
        <w:spacing w:line="480" w:lineRule="auto"/>
        <w:ind w:firstLine="720"/>
      </w:pPr>
      <w:r w:rsidRPr="001E101F">
        <w:t xml:space="preserve">For those in the latter group, the purpose of </w:t>
      </w:r>
      <w:proofErr w:type="spellStart"/>
      <w:r w:rsidR="00012F58" w:rsidRPr="001E101F">
        <w:t>RoN</w:t>
      </w:r>
      <w:proofErr w:type="spellEnd"/>
      <w:r w:rsidRPr="001E101F">
        <w:t xml:space="preserve"> is to restore Indigenous sovereignty over occupied and mismanaged lands and waters. Here, </w:t>
      </w:r>
      <w:proofErr w:type="spellStart"/>
      <w:r w:rsidR="00012F58" w:rsidRPr="001E101F">
        <w:t>RoN</w:t>
      </w:r>
      <w:proofErr w:type="spellEnd"/>
      <w:r w:rsidRPr="001E101F">
        <w:t xml:space="preserve"> work in service of advancing biocultural rights. As a major point of departure from the technocratic view, advocates of the cultural perspective assume that improvements in environmental quality will flow from the restoration of Indigenous authority over ancestral resources.</w:t>
      </w:r>
      <w:r w:rsidR="003360F1" w:rsidRPr="001E101F">
        <w:rPr>
          <w:rStyle w:val="FootnoteReference"/>
        </w:rPr>
        <w:footnoteReference w:id="59"/>
      </w:r>
      <w:r w:rsidRPr="001E101F">
        <w:t xml:space="preserve"> However, such outcomes are of secondary importance compared to </w:t>
      </w:r>
      <w:r w:rsidR="00D6318C" w:rsidRPr="001E101F">
        <w:t>the main objective—wresting</w:t>
      </w:r>
      <w:r w:rsidRPr="001E101F">
        <w:t xml:space="preserve"> control of nature from the hands of colonial oppressors.</w:t>
      </w:r>
      <w:r w:rsidR="00D6318C" w:rsidRPr="001E101F">
        <w:t xml:space="preserve"> Philosophically, the cultural view seeks to </w:t>
      </w:r>
      <w:r w:rsidR="00EC0625" w:rsidRPr="001E101F">
        <w:t>liberate</w:t>
      </w:r>
      <w:r w:rsidR="00D6318C" w:rsidRPr="001E101F">
        <w:t xml:space="preserve"> environmental law from its Western strictures, celebrating alternative onto-epistemologies and empowering Indigenous peoples through a thoroughly pluralist re-conceptualization of the </w:t>
      </w:r>
      <w:r w:rsidR="00EC0625" w:rsidRPr="001E101F">
        <w:t xml:space="preserve">notion of </w:t>
      </w:r>
      <w:r w:rsidR="00D6318C" w:rsidRPr="001E101F">
        <w:t>law itself</w:t>
      </w:r>
      <w:r w:rsidR="00CD2161" w:rsidRPr="001E101F">
        <w:t>.</w:t>
      </w:r>
      <w:r w:rsidR="00475492" w:rsidRPr="001E101F">
        <w:rPr>
          <w:rStyle w:val="FootnoteReference"/>
        </w:rPr>
        <w:footnoteReference w:id="60"/>
      </w:r>
      <w:r w:rsidR="00CD2161" w:rsidRPr="001E101F">
        <w:t xml:space="preserve"> </w:t>
      </w:r>
      <w:r w:rsidR="00C425C2" w:rsidRPr="001E101F">
        <w:t xml:space="preserve">For instance, in 2018 the White Earth Band of </w:t>
      </w:r>
      <w:r w:rsidR="00D576E3" w:rsidRPr="001E101F">
        <w:t xml:space="preserve">Ojibwe of the </w:t>
      </w:r>
      <w:r w:rsidR="00C425C2" w:rsidRPr="001E101F">
        <w:t xml:space="preserve">Chippewa </w:t>
      </w:r>
      <w:r w:rsidR="00D576E3" w:rsidRPr="001E101F">
        <w:t>Nation</w:t>
      </w:r>
      <w:r w:rsidR="00C425C2" w:rsidRPr="001E101F">
        <w:t xml:space="preserve"> passed a resolution recognizing the rights of </w:t>
      </w:r>
      <w:proofErr w:type="spellStart"/>
      <w:r w:rsidR="00C425C2" w:rsidRPr="001E101F">
        <w:t>manoomin</w:t>
      </w:r>
      <w:proofErr w:type="spellEnd"/>
      <w:r w:rsidR="00C425C2" w:rsidRPr="001E101F">
        <w:t xml:space="preserve"> (wild rice), an act </w:t>
      </w:r>
      <w:r w:rsidR="003B42C8" w:rsidRPr="001E101F">
        <w:t>urged</w:t>
      </w:r>
      <w:r w:rsidR="00C425C2" w:rsidRPr="001E101F">
        <w:t xml:space="preserve"> by </w:t>
      </w:r>
      <w:r w:rsidR="003B42C8" w:rsidRPr="001E101F">
        <w:t>the ways in which</w:t>
      </w:r>
      <w:r w:rsidR="00C425C2" w:rsidRPr="001E101F">
        <w:t xml:space="preserve"> </w:t>
      </w:r>
      <w:r w:rsidR="003B42C8" w:rsidRPr="001E101F">
        <w:t xml:space="preserve">industrial agriculture posed a real threat to </w:t>
      </w:r>
      <w:r w:rsidR="00C425C2" w:rsidRPr="001E101F">
        <w:t>this culturally significant food staple</w:t>
      </w:r>
      <w:r w:rsidR="00D576E3" w:rsidRPr="001E101F">
        <w:t xml:space="preserve">. In so doing, the tribe reaffirmed its sovereignty and the supremacy of its own laws above </w:t>
      </w:r>
      <w:r w:rsidR="003B42C8" w:rsidRPr="001E101F">
        <w:t xml:space="preserve">what it considered </w:t>
      </w:r>
      <w:r w:rsidR="00D576E3" w:rsidRPr="001E101F">
        <w:t xml:space="preserve">insufficiently protective laws at </w:t>
      </w:r>
      <w:r w:rsidR="003D4F74" w:rsidRPr="001E101F">
        <w:t>other</w:t>
      </w:r>
      <w:r w:rsidR="00D576E3" w:rsidRPr="001E101F">
        <w:t xml:space="preserve"> levels of governance</w:t>
      </w:r>
      <w:r w:rsidR="00D6318C" w:rsidRPr="001E101F">
        <w:t>.</w:t>
      </w:r>
      <w:r w:rsidR="00D6595F" w:rsidRPr="001E101F">
        <w:rPr>
          <w:rStyle w:val="FootnoteReference"/>
        </w:rPr>
        <w:footnoteReference w:id="61"/>
      </w:r>
      <w:r w:rsidR="00D576E3" w:rsidRPr="001E101F">
        <w:t xml:space="preserve"> This ordinance later served as the basis for a lawsuit by the White Earth Band against the Minnesota Department of Natural Resources for issuing a permit that would redirect </w:t>
      </w:r>
      <w:r w:rsidR="003B42C8" w:rsidRPr="001E101F">
        <w:t xml:space="preserve">billions of gallons of </w:t>
      </w:r>
      <w:r w:rsidR="00D576E3" w:rsidRPr="001E101F">
        <w:t xml:space="preserve">water away </w:t>
      </w:r>
      <w:r w:rsidR="003B42C8" w:rsidRPr="001E101F">
        <w:t xml:space="preserve">that directly feed </w:t>
      </w:r>
      <w:proofErr w:type="spellStart"/>
      <w:r w:rsidR="00D576E3" w:rsidRPr="001E101F">
        <w:t>manoomin</w:t>
      </w:r>
      <w:proofErr w:type="spellEnd"/>
      <w:r w:rsidR="00D576E3" w:rsidRPr="001E101F">
        <w:t xml:space="preserve"> beds.</w:t>
      </w:r>
      <w:r w:rsidR="00AD15E0" w:rsidRPr="001E101F">
        <w:rPr>
          <w:rStyle w:val="FootnoteReference"/>
        </w:rPr>
        <w:footnoteReference w:id="62"/>
      </w:r>
    </w:p>
    <w:p w14:paraId="2B8F0ACD" w14:textId="6B9715A3" w:rsidR="0093524D" w:rsidRPr="001E101F" w:rsidRDefault="002B4AE0" w:rsidP="001C5831">
      <w:pPr>
        <w:spacing w:line="480" w:lineRule="auto"/>
        <w:ind w:firstLine="720"/>
      </w:pPr>
      <w:r w:rsidRPr="001E101F">
        <w:lastRenderedPageBreak/>
        <w:t xml:space="preserve">To make one thing clear, </w:t>
      </w:r>
      <w:proofErr w:type="gramStart"/>
      <w:r w:rsidRPr="001E101F">
        <w:t>both of these</w:t>
      </w:r>
      <w:proofErr w:type="gramEnd"/>
      <w:r w:rsidRPr="001E101F">
        <w:t xml:space="preserve"> perspectives view </w:t>
      </w:r>
      <w:proofErr w:type="spellStart"/>
      <w:r w:rsidR="00012F58" w:rsidRPr="001E101F">
        <w:t>RoN</w:t>
      </w:r>
      <w:proofErr w:type="spellEnd"/>
      <w:r w:rsidRPr="001E101F">
        <w:t xml:space="preserve"> as a positive development that holds great promise for addressing major issues like </w:t>
      </w:r>
      <w:r w:rsidR="00D33AA8" w:rsidRPr="001E101F">
        <w:t xml:space="preserve">climate change, </w:t>
      </w:r>
      <w:r w:rsidRPr="001E101F">
        <w:t>biodiversity loss, and pollution. However, they diverge in important ways</w:t>
      </w:r>
      <w:r w:rsidR="00DF225E" w:rsidRPr="001E101F">
        <w:t xml:space="preserve"> that are worth articulating</w:t>
      </w:r>
      <w:r w:rsidRPr="001E101F">
        <w:t xml:space="preserve">. First, they possess different epistemological commitments. Technocrats argue that the </w:t>
      </w:r>
      <w:proofErr w:type="spellStart"/>
      <w:r w:rsidR="00012F58" w:rsidRPr="001E101F">
        <w:t>RoN</w:t>
      </w:r>
      <w:proofErr w:type="spellEnd"/>
      <w:r w:rsidRPr="001E101F">
        <w:t xml:space="preserve"> can be clarified through the introduction of Western scientific methods</w:t>
      </w:r>
      <w:r w:rsidR="00DF225E" w:rsidRPr="001E101F">
        <w:t xml:space="preserve"> and data</w:t>
      </w:r>
      <w:r w:rsidRPr="001E101F">
        <w:t xml:space="preserve">, whereas culturalists urge greater respect for Indigenous </w:t>
      </w:r>
      <w:r w:rsidR="000A5442" w:rsidRPr="001E101F">
        <w:t xml:space="preserve">laws and </w:t>
      </w:r>
      <w:r w:rsidRPr="001E101F">
        <w:t>ways of knowing</w:t>
      </w:r>
      <w:r w:rsidR="00DF225E" w:rsidRPr="001E101F">
        <w:t>, not empirical measurement</w:t>
      </w:r>
      <w:r w:rsidRPr="001E101F">
        <w:t xml:space="preserve">. Second, they elevate different kinds of actors in the process of adjudicating </w:t>
      </w:r>
      <w:proofErr w:type="spellStart"/>
      <w:r w:rsidR="00012F58" w:rsidRPr="001E101F">
        <w:t>RoN</w:t>
      </w:r>
      <w:proofErr w:type="spellEnd"/>
      <w:r w:rsidRPr="001E101F">
        <w:t xml:space="preserve"> cases. Technocrats give pride of place to scientists</w:t>
      </w:r>
      <w:r w:rsidR="00DF225E" w:rsidRPr="001E101F">
        <w:t>, whom they view as the arbiters of truth capable of</w:t>
      </w:r>
      <w:r w:rsidRPr="001E101F">
        <w:t xml:space="preserve"> render</w:t>
      </w:r>
      <w:r w:rsidR="00DF225E" w:rsidRPr="001E101F">
        <w:t>ing</w:t>
      </w:r>
      <w:r w:rsidRPr="001E101F">
        <w:t xml:space="preserve"> nature’s state intelligible to Western legal systems, whereas culturalists highlight the role of Indigenous peoples in conveying nature’s interests</w:t>
      </w:r>
      <w:r w:rsidR="00DF225E" w:rsidRPr="001E101F">
        <w:t xml:space="preserve"> by virtue of their closeness to and care for the environment</w:t>
      </w:r>
      <w:r w:rsidRPr="001E101F">
        <w:t xml:space="preserve">. Third, </w:t>
      </w:r>
      <w:r w:rsidR="00DF225E" w:rsidRPr="001E101F">
        <w:t xml:space="preserve">they vary in terms of the degree of change to existing legal systems deemed necessary to address environmental challenges. Technocrats </w:t>
      </w:r>
      <w:r w:rsidR="00E45581" w:rsidRPr="001E101F">
        <w:t xml:space="preserve">elect to </w:t>
      </w:r>
      <w:r w:rsidR="00DF225E" w:rsidRPr="001E101F">
        <w:t xml:space="preserve">operate within the confines of the current system, while culturalists seek to open the system up to alternative sources of knowledge and governance. </w:t>
      </w:r>
    </w:p>
    <w:p w14:paraId="1DA28D1F" w14:textId="77777777" w:rsidR="001442F4" w:rsidRPr="001E101F" w:rsidRDefault="001442F4" w:rsidP="001C5831">
      <w:pPr>
        <w:spacing w:line="480" w:lineRule="auto"/>
        <w:rPr>
          <w:b/>
          <w:bCs/>
        </w:rPr>
      </w:pPr>
    </w:p>
    <w:p w14:paraId="345B1D78" w14:textId="1B6F732F" w:rsidR="0093524D" w:rsidRPr="001E101F" w:rsidRDefault="003F043B" w:rsidP="001C5831">
      <w:pPr>
        <w:spacing w:line="480" w:lineRule="auto"/>
        <w:rPr>
          <w:b/>
          <w:bCs/>
        </w:rPr>
      </w:pPr>
      <w:r w:rsidRPr="001E101F">
        <w:rPr>
          <w:b/>
          <w:bCs/>
        </w:rPr>
        <w:t>3</w:t>
      </w:r>
      <w:r w:rsidR="0093524D" w:rsidRPr="001E101F">
        <w:rPr>
          <w:b/>
          <w:bCs/>
        </w:rPr>
        <w:t>.4 Synthesis</w:t>
      </w:r>
    </w:p>
    <w:p w14:paraId="392B6A52" w14:textId="438F1FCB" w:rsidR="006670A9" w:rsidRPr="001E101F" w:rsidRDefault="00B6105F" w:rsidP="001C5831">
      <w:pPr>
        <w:spacing w:line="480" w:lineRule="auto"/>
      </w:pPr>
      <w:r w:rsidRPr="001E101F">
        <w:t xml:space="preserve">This section has presented three key (and at times underappreciated) themes observed across the burgeoning </w:t>
      </w:r>
      <w:proofErr w:type="spellStart"/>
      <w:r w:rsidR="00012F58" w:rsidRPr="001E101F">
        <w:t>RoN</w:t>
      </w:r>
      <w:proofErr w:type="spellEnd"/>
      <w:r w:rsidRPr="001E101F">
        <w:t xml:space="preserve"> movement. While different </w:t>
      </w:r>
      <w:r w:rsidRPr="001E101F">
        <w:rPr>
          <w:i/>
          <w:iCs/>
        </w:rPr>
        <w:t>forms</w:t>
      </w:r>
      <w:r w:rsidRPr="001E101F">
        <w:t xml:space="preserve"> have been a fixture of the </w:t>
      </w:r>
      <w:proofErr w:type="spellStart"/>
      <w:r w:rsidR="00012F58" w:rsidRPr="001E101F">
        <w:t>RoN</w:t>
      </w:r>
      <w:proofErr w:type="spellEnd"/>
      <w:r w:rsidRPr="001E101F">
        <w:t xml:space="preserve"> since the onset of their legalization, less attention has focused on the </w:t>
      </w:r>
      <w:r w:rsidRPr="001E101F">
        <w:rPr>
          <w:i/>
          <w:iCs/>
        </w:rPr>
        <w:t>mechanisms</w:t>
      </w:r>
      <w:r w:rsidRPr="001E101F">
        <w:t xml:space="preserve"> by which nature’s interests are determined and the onto-epistemological </w:t>
      </w:r>
      <w:r w:rsidRPr="001E101F">
        <w:rPr>
          <w:i/>
          <w:iCs/>
        </w:rPr>
        <w:t>orientations</w:t>
      </w:r>
      <w:r w:rsidRPr="001E101F">
        <w:t xml:space="preserve"> undergirding the purpose and implementation of such guarantees. </w:t>
      </w:r>
      <w:r w:rsidR="006670A9" w:rsidRPr="001E101F">
        <w:t>These categories, along with their competing approaches and representative examples, are summarized in the table below.</w:t>
      </w:r>
    </w:p>
    <w:p w14:paraId="035417CC" w14:textId="77777777" w:rsidR="001442F4" w:rsidRPr="001E101F" w:rsidRDefault="001442F4" w:rsidP="001C5831">
      <w:pPr>
        <w:spacing w:line="480" w:lineRule="auto"/>
        <w:rPr>
          <w:b/>
          <w:bCs/>
        </w:rPr>
      </w:pPr>
    </w:p>
    <w:p w14:paraId="0CACF588" w14:textId="5F02A3D5" w:rsidR="00B6105F" w:rsidRPr="001E101F" w:rsidRDefault="006670A9" w:rsidP="001C5831">
      <w:pPr>
        <w:spacing w:line="480" w:lineRule="auto"/>
      </w:pPr>
      <w:r w:rsidRPr="001E101F">
        <w:rPr>
          <w:b/>
          <w:bCs/>
        </w:rPr>
        <w:lastRenderedPageBreak/>
        <w:t>Table 1</w:t>
      </w:r>
      <w:r w:rsidRPr="001E101F">
        <w:t xml:space="preserve">. </w:t>
      </w:r>
      <w:r w:rsidR="00DF69A5" w:rsidRPr="001E101F">
        <w:t>Framework for differentiating approaches to the rights of nature</w:t>
      </w:r>
    </w:p>
    <w:tbl>
      <w:tblPr>
        <w:tblStyle w:val="TableGrid"/>
        <w:tblW w:w="0" w:type="auto"/>
        <w:tblLayout w:type="fixed"/>
        <w:tblLook w:val="04A0" w:firstRow="1" w:lastRow="0" w:firstColumn="1" w:lastColumn="0" w:noHBand="0" w:noVBand="1"/>
      </w:tblPr>
      <w:tblGrid>
        <w:gridCol w:w="535"/>
        <w:gridCol w:w="1440"/>
        <w:gridCol w:w="1409"/>
        <w:gridCol w:w="1381"/>
        <w:gridCol w:w="1800"/>
        <w:gridCol w:w="1440"/>
        <w:gridCol w:w="1345"/>
      </w:tblGrid>
      <w:tr w:rsidR="003304DA" w:rsidRPr="001E101F" w14:paraId="56F3AE16" w14:textId="77777777" w:rsidTr="003304DA">
        <w:tc>
          <w:tcPr>
            <w:tcW w:w="535" w:type="dxa"/>
          </w:tcPr>
          <w:p w14:paraId="689AEE38" w14:textId="77777777" w:rsidR="00DF69A5" w:rsidRPr="001E101F" w:rsidRDefault="00DF69A5"/>
        </w:tc>
        <w:tc>
          <w:tcPr>
            <w:tcW w:w="2849" w:type="dxa"/>
            <w:gridSpan w:val="2"/>
          </w:tcPr>
          <w:p w14:paraId="1AB1D3CE" w14:textId="3A4AE4AE" w:rsidR="00DF69A5" w:rsidRPr="001E101F" w:rsidRDefault="00DF69A5" w:rsidP="00BF1E64">
            <w:pPr>
              <w:jc w:val="center"/>
              <w:rPr>
                <w:b/>
                <w:bCs/>
              </w:rPr>
            </w:pPr>
            <w:r w:rsidRPr="001E101F">
              <w:rPr>
                <w:b/>
                <w:bCs/>
              </w:rPr>
              <w:t>Form</w:t>
            </w:r>
          </w:p>
        </w:tc>
        <w:tc>
          <w:tcPr>
            <w:tcW w:w="3181" w:type="dxa"/>
            <w:gridSpan w:val="2"/>
          </w:tcPr>
          <w:p w14:paraId="33174A2C" w14:textId="60F21FCB" w:rsidR="00DF69A5" w:rsidRPr="001E101F" w:rsidRDefault="00DF69A5" w:rsidP="00BF1E64">
            <w:pPr>
              <w:jc w:val="center"/>
              <w:rPr>
                <w:b/>
                <w:bCs/>
              </w:rPr>
            </w:pPr>
            <w:r w:rsidRPr="001E101F">
              <w:rPr>
                <w:b/>
                <w:bCs/>
              </w:rPr>
              <w:t>Mechanism</w:t>
            </w:r>
          </w:p>
        </w:tc>
        <w:tc>
          <w:tcPr>
            <w:tcW w:w="2785" w:type="dxa"/>
            <w:gridSpan w:val="2"/>
          </w:tcPr>
          <w:p w14:paraId="1F8546A3" w14:textId="4C3A66CF" w:rsidR="00DF69A5" w:rsidRPr="001E101F" w:rsidRDefault="00DF69A5" w:rsidP="00BF1E64">
            <w:pPr>
              <w:jc w:val="center"/>
              <w:rPr>
                <w:b/>
                <w:bCs/>
              </w:rPr>
            </w:pPr>
            <w:r w:rsidRPr="001E101F">
              <w:rPr>
                <w:b/>
                <w:bCs/>
              </w:rPr>
              <w:t>Orientation</w:t>
            </w:r>
          </w:p>
        </w:tc>
      </w:tr>
      <w:tr w:rsidR="00BF1E64" w:rsidRPr="001E101F" w14:paraId="4D02EABE" w14:textId="77777777" w:rsidTr="003304DA">
        <w:tc>
          <w:tcPr>
            <w:tcW w:w="535" w:type="dxa"/>
          </w:tcPr>
          <w:p w14:paraId="5B00BF11" w14:textId="77777777" w:rsidR="00BF1E64" w:rsidRPr="001E101F" w:rsidRDefault="00BF1E64"/>
        </w:tc>
        <w:tc>
          <w:tcPr>
            <w:tcW w:w="1440" w:type="dxa"/>
          </w:tcPr>
          <w:p w14:paraId="1F4AFBFE" w14:textId="1585823A" w:rsidR="00BF1E64" w:rsidRPr="001E101F" w:rsidRDefault="00BF1E64">
            <w:pPr>
              <w:rPr>
                <w:i/>
                <w:iCs/>
              </w:rPr>
            </w:pPr>
            <w:r w:rsidRPr="001E101F">
              <w:rPr>
                <w:i/>
                <w:iCs/>
              </w:rPr>
              <w:t>Legal Personhood</w:t>
            </w:r>
          </w:p>
        </w:tc>
        <w:tc>
          <w:tcPr>
            <w:tcW w:w="1409" w:type="dxa"/>
          </w:tcPr>
          <w:p w14:paraId="46AED59A" w14:textId="1D66D7B5" w:rsidR="00BF1E64" w:rsidRPr="001E101F" w:rsidRDefault="00BF1E64">
            <w:pPr>
              <w:rPr>
                <w:i/>
                <w:iCs/>
              </w:rPr>
            </w:pPr>
            <w:r w:rsidRPr="001E101F">
              <w:rPr>
                <w:i/>
                <w:iCs/>
              </w:rPr>
              <w:t>Legal Rights</w:t>
            </w:r>
          </w:p>
        </w:tc>
        <w:tc>
          <w:tcPr>
            <w:tcW w:w="1381" w:type="dxa"/>
          </w:tcPr>
          <w:p w14:paraId="7916725F" w14:textId="13D02790" w:rsidR="00BF1E64" w:rsidRPr="001E101F" w:rsidRDefault="00BF1E64">
            <w:pPr>
              <w:rPr>
                <w:i/>
                <w:iCs/>
              </w:rPr>
            </w:pPr>
            <w:r w:rsidRPr="001E101F">
              <w:rPr>
                <w:i/>
                <w:iCs/>
              </w:rPr>
              <w:t>Anthropo-centric</w:t>
            </w:r>
          </w:p>
        </w:tc>
        <w:tc>
          <w:tcPr>
            <w:tcW w:w="1800" w:type="dxa"/>
          </w:tcPr>
          <w:p w14:paraId="3C455A66" w14:textId="464FA555" w:rsidR="00BF1E64" w:rsidRPr="001E101F" w:rsidRDefault="00BF1E64">
            <w:pPr>
              <w:rPr>
                <w:i/>
                <w:iCs/>
              </w:rPr>
            </w:pPr>
            <w:r w:rsidRPr="001E101F">
              <w:rPr>
                <w:i/>
                <w:iCs/>
              </w:rPr>
              <w:t>Non-anthropocentric</w:t>
            </w:r>
          </w:p>
        </w:tc>
        <w:tc>
          <w:tcPr>
            <w:tcW w:w="1440" w:type="dxa"/>
          </w:tcPr>
          <w:p w14:paraId="3C13DDF5" w14:textId="338A7AA8" w:rsidR="00BF1E64" w:rsidRPr="001E101F" w:rsidRDefault="00BF1E64">
            <w:pPr>
              <w:rPr>
                <w:i/>
                <w:iCs/>
              </w:rPr>
            </w:pPr>
            <w:r w:rsidRPr="001E101F">
              <w:rPr>
                <w:i/>
                <w:iCs/>
              </w:rPr>
              <w:t>Techno-</w:t>
            </w:r>
            <w:proofErr w:type="spellStart"/>
            <w:r w:rsidRPr="001E101F">
              <w:rPr>
                <w:i/>
                <w:iCs/>
              </w:rPr>
              <w:t>cratic</w:t>
            </w:r>
            <w:proofErr w:type="spellEnd"/>
          </w:p>
        </w:tc>
        <w:tc>
          <w:tcPr>
            <w:tcW w:w="1345" w:type="dxa"/>
          </w:tcPr>
          <w:p w14:paraId="4BA9D2A5" w14:textId="15576B6F" w:rsidR="00BF1E64" w:rsidRPr="001E101F" w:rsidRDefault="00BF1E64">
            <w:pPr>
              <w:rPr>
                <w:i/>
                <w:iCs/>
              </w:rPr>
            </w:pPr>
            <w:r w:rsidRPr="001E101F">
              <w:rPr>
                <w:i/>
                <w:iCs/>
              </w:rPr>
              <w:t>Cultural</w:t>
            </w:r>
          </w:p>
        </w:tc>
      </w:tr>
      <w:tr w:rsidR="00BF1E64" w:rsidRPr="001E101F" w14:paraId="36ED5DFA" w14:textId="77777777" w:rsidTr="003304DA">
        <w:trPr>
          <w:cantSplit/>
          <w:trHeight w:val="1214"/>
        </w:trPr>
        <w:tc>
          <w:tcPr>
            <w:tcW w:w="535" w:type="dxa"/>
            <w:textDirection w:val="btLr"/>
            <w:vAlign w:val="center"/>
          </w:tcPr>
          <w:p w14:paraId="03F45CF5" w14:textId="1237B5B0" w:rsidR="00BF1E64" w:rsidRPr="001E101F" w:rsidRDefault="00BF1E64" w:rsidP="00BF1E64">
            <w:pPr>
              <w:ind w:left="113" w:right="113"/>
              <w:jc w:val="center"/>
            </w:pPr>
            <w:r w:rsidRPr="001E101F">
              <w:t>Example</w:t>
            </w:r>
          </w:p>
        </w:tc>
        <w:tc>
          <w:tcPr>
            <w:tcW w:w="1440" w:type="dxa"/>
            <w:vAlign w:val="center"/>
          </w:tcPr>
          <w:p w14:paraId="7D336213" w14:textId="26B15ECF" w:rsidR="00BF1E64" w:rsidRPr="001E101F" w:rsidRDefault="00BF1E64" w:rsidP="00DE7325">
            <w:proofErr w:type="spellStart"/>
            <w:r w:rsidRPr="001E101F">
              <w:t>Te</w:t>
            </w:r>
            <w:proofErr w:type="spellEnd"/>
            <w:r w:rsidRPr="001E101F">
              <w:t xml:space="preserve"> </w:t>
            </w:r>
            <w:proofErr w:type="spellStart"/>
            <w:r w:rsidRPr="001E101F">
              <w:t>Urewera</w:t>
            </w:r>
            <w:proofErr w:type="spellEnd"/>
            <w:r w:rsidRPr="001E101F">
              <w:t xml:space="preserve"> Act</w:t>
            </w:r>
          </w:p>
        </w:tc>
        <w:tc>
          <w:tcPr>
            <w:tcW w:w="1409" w:type="dxa"/>
            <w:vAlign w:val="center"/>
          </w:tcPr>
          <w:p w14:paraId="509EE5FD" w14:textId="62905379" w:rsidR="00BF1E64" w:rsidRPr="001E101F" w:rsidRDefault="00BF1E64" w:rsidP="00DE7325">
            <w:r w:rsidRPr="001E101F">
              <w:t>Ecuadorian Constitution</w:t>
            </w:r>
          </w:p>
        </w:tc>
        <w:tc>
          <w:tcPr>
            <w:tcW w:w="1381" w:type="dxa"/>
            <w:vAlign w:val="center"/>
          </w:tcPr>
          <w:p w14:paraId="32202A64" w14:textId="00E92D97" w:rsidR="00BF1E64" w:rsidRPr="001E101F" w:rsidRDefault="00BF1E64" w:rsidP="00DE7325">
            <w:proofErr w:type="spellStart"/>
            <w:r w:rsidRPr="001E101F">
              <w:t>Te</w:t>
            </w:r>
            <w:proofErr w:type="spellEnd"/>
            <w:r w:rsidRPr="001E101F">
              <w:t xml:space="preserve"> </w:t>
            </w:r>
            <w:proofErr w:type="spellStart"/>
            <w:r w:rsidRPr="001E101F">
              <w:t>Urewera</w:t>
            </w:r>
            <w:proofErr w:type="spellEnd"/>
            <w:r w:rsidRPr="001E101F">
              <w:t xml:space="preserve"> Board</w:t>
            </w:r>
          </w:p>
        </w:tc>
        <w:tc>
          <w:tcPr>
            <w:tcW w:w="1800" w:type="dxa"/>
            <w:vAlign w:val="center"/>
          </w:tcPr>
          <w:p w14:paraId="7AEA0395" w14:textId="67E9CE7E" w:rsidR="00BF1E64" w:rsidRPr="001E101F" w:rsidRDefault="00BF1E64" w:rsidP="00DE7325">
            <w:r w:rsidRPr="001E101F">
              <w:t>More-than-Human Design</w:t>
            </w:r>
          </w:p>
        </w:tc>
        <w:tc>
          <w:tcPr>
            <w:tcW w:w="1440" w:type="dxa"/>
            <w:vAlign w:val="center"/>
          </w:tcPr>
          <w:p w14:paraId="18FA2CA3" w14:textId="4864FA98" w:rsidR="00BF1E64" w:rsidRPr="001E101F" w:rsidRDefault="00BF1E64" w:rsidP="00DE7325">
            <w:r w:rsidRPr="001E101F">
              <w:t>Los Cedros Case</w:t>
            </w:r>
          </w:p>
        </w:tc>
        <w:tc>
          <w:tcPr>
            <w:tcW w:w="1345" w:type="dxa"/>
            <w:vAlign w:val="center"/>
          </w:tcPr>
          <w:p w14:paraId="7E9861D0" w14:textId="709584C9" w:rsidR="00BF1E64" w:rsidRPr="001E101F" w:rsidRDefault="00BF1E64" w:rsidP="00DE7325">
            <w:r w:rsidRPr="001E101F">
              <w:t xml:space="preserve">Rights of </w:t>
            </w:r>
            <w:proofErr w:type="spellStart"/>
            <w:r w:rsidRPr="001E101F">
              <w:t>Manoomin</w:t>
            </w:r>
            <w:proofErr w:type="spellEnd"/>
            <w:r w:rsidRPr="001E101F">
              <w:t xml:space="preserve"> </w:t>
            </w:r>
            <w:r w:rsidR="00672271" w:rsidRPr="001E101F">
              <w:t>Resolution</w:t>
            </w:r>
          </w:p>
        </w:tc>
      </w:tr>
    </w:tbl>
    <w:p w14:paraId="7E034889" w14:textId="77777777" w:rsidR="001442F4" w:rsidRPr="001E101F" w:rsidRDefault="001442F4" w:rsidP="001C5831">
      <w:pPr>
        <w:spacing w:line="480" w:lineRule="auto"/>
      </w:pPr>
    </w:p>
    <w:p w14:paraId="0E261465" w14:textId="000C96D6" w:rsidR="00AD3BA0" w:rsidRPr="001E101F" w:rsidRDefault="00C104CB" w:rsidP="001C5831">
      <w:pPr>
        <w:spacing w:line="480" w:lineRule="auto"/>
      </w:pPr>
      <w:r w:rsidRPr="001E101F">
        <w:t xml:space="preserve">Developing optimal </w:t>
      </w:r>
      <w:proofErr w:type="spellStart"/>
      <w:r w:rsidR="00012F58" w:rsidRPr="001E101F">
        <w:t>RoN</w:t>
      </w:r>
      <w:proofErr w:type="spellEnd"/>
      <w:r w:rsidRPr="001E101F">
        <w:t xml:space="preserve"> strategies will require additional scrutiny and analysis of the approaches listed above. </w:t>
      </w:r>
      <w:r w:rsidR="00F56859" w:rsidRPr="001E101F">
        <w:t>First, m</w:t>
      </w:r>
      <w:r w:rsidRPr="001E101F">
        <w:t xml:space="preserve">ore context-sensitive, rigorous research will need to be performed </w:t>
      </w:r>
      <w:proofErr w:type="gramStart"/>
      <w:r w:rsidRPr="001E101F">
        <w:t>in order to</w:t>
      </w:r>
      <w:proofErr w:type="gramEnd"/>
      <w:r w:rsidRPr="001E101F">
        <w:t xml:space="preserve"> assess whether legal personhood or legal rights are better suited to yield the desired outcomes. </w:t>
      </w:r>
      <w:r w:rsidR="00CB0D85" w:rsidRPr="001E101F">
        <w:t>This may require the use of small- and medium-N methods like qualitative comparative analysis</w:t>
      </w:r>
      <w:r w:rsidR="00FD52FF" w:rsidRPr="001E101F">
        <w:rPr>
          <w:rStyle w:val="FootnoteReference"/>
        </w:rPr>
        <w:footnoteReference w:id="63"/>
      </w:r>
      <w:r w:rsidR="00CB0D85" w:rsidRPr="001E101F">
        <w:t xml:space="preserve"> until a critical mass of cases befitting large-N statistical analysis arrives. </w:t>
      </w:r>
      <w:r w:rsidR="00F56859" w:rsidRPr="001E101F">
        <w:t>Second, advocates and policymakers will need to experiment with alternative platforms for identifying nature’s interests and finding avenues for nature to meaningfully participate in decision-making processes affecting those interests.</w:t>
      </w:r>
      <w:r w:rsidR="00214758" w:rsidRPr="001E101F">
        <w:t xml:space="preserve"> Crucially, we should remain o</w:t>
      </w:r>
      <w:r w:rsidR="00CB0D85" w:rsidRPr="001E101F">
        <w:t xml:space="preserve">pen to </w:t>
      </w:r>
      <w:r w:rsidR="00214758" w:rsidRPr="001E101F">
        <w:t xml:space="preserve">testing a variety of options, such as using </w:t>
      </w:r>
      <w:r w:rsidR="000F45AA" w:rsidRPr="001E101F">
        <w:t>artificial intelligence</w:t>
      </w:r>
      <w:r w:rsidR="00214758" w:rsidRPr="001E101F">
        <w:t xml:space="preserve"> to decode animal communication</w:t>
      </w:r>
      <w:r w:rsidR="00FD52FF" w:rsidRPr="001E101F">
        <w:rPr>
          <w:rStyle w:val="FootnoteReference"/>
        </w:rPr>
        <w:footnoteReference w:id="64"/>
      </w:r>
      <w:r w:rsidR="00214758" w:rsidRPr="001E101F">
        <w:t xml:space="preserve"> </w:t>
      </w:r>
      <w:r w:rsidR="00CF4E4D" w:rsidRPr="001E101F">
        <w:t xml:space="preserve">and conducting </w:t>
      </w:r>
      <w:r w:rsidR="00431B15" w:rsidRPr="001E101F">
        <w:t xml:space="preserve">environmental </w:t>
      </w:r>
      <w:r w:rsidR="00CF4E4D" w:rsidRPr="001E101F">
        <w:t>asses</w:t>
      </w:r>
      <w:r w:rsidR="00431B15" w:rsidRPr="001E101F">
        <w:t>s</w:t>
      </w:r>
      <w:r w:rsidR="00CF4E4D" w:rsidRPr="001E101F">
        <w:t>ments on the basis of Indigenous and local knowledge</w:t>
      </w:r>
      <w:r w:rsidR="00214758" w:rsidRPr="001E101F">
        <w:t>.</w:t>
      </w:r>
      <w:r w:rsidR="00FD52FF" w:rsidRPr="001E101F">
        <w:rPr>
          <w:rStyle w:val="FootnoteReference"/>
        </w:rPr>
        <w:footnoteReference w:id="65"/>
      </w:r>
      <w:r w:rsidR="00214758" w:rsidRPr="001E101F">
        <w:t xml:space="preserve"> </w:t>
      </w:r>
      <w:r w:rsidR="00F56859" w:rsidRPr="001E101F">
        <w:t xml:space="preserve">Finally, </w:t>
      </w:r>
      <w:r w:rsidR="00DD454C" w:rsidRPr="001E101F">
        <w:t xml:space="preserve">the extent to which the adjudication of </w:t>
      </w:r>
      <w:proofErr w:type="spellStart"/>
      <w:r w:rsidR="00012F58" w:rsidRPr="001E101F">
        <w:t>RoN</w:t>
      </w:r>
      <w:proofErr w:type="spellEnd"/>
      <w:r w:rsidR="00DD454C" w:rsidRPr="001E101F">
        <w:t xml:space="preserve"> concerns are pursued through technocratic or cultural means will likely involve substantial negotiation between relevant parties (or kin) in order to maximize the potential effectiveness and/or cultural appropriateness of </w:t>
      </w:r>
      <w:r w:rsidR="000B7D23" w:rsidRPr="001E101F">
        <w:t xml:space="preserve">efforts to realize </w:t>
      </w:r>
      <w:r w:rsidR="00DD454C" w:rsidRPr="001E101F">
        <w:t xml:space="preserve">this </w:t>
      </w:r>
      <w:r w:rsidR="002D351B" w:rsidRPr="001E101F">
        <w:t xml:space="preserve">nascent </w:t>
      </w:r>
      <w:r w:rsidR="00125DAF" w:rsidRPr="001E101F">
        <w:t>“legal revolution”</w:t>
      </w:r>
      <w:r w:rsidR="00C875F2" w:rsidRPr="001E101F">
        <w:rPr>
          <w:rStyle w:val="FootnoteReference"/>
        </w:rPr>
        <w:footnoteReference w:id="66"/>
      </w:r>
      <w:r w:rsidR="000B7D23" w:rsidRPr="001E101F">
        <w:t xml:space="preserve"> in practice</w:t>
      </w:r>
      <w:r w:rsidR="00125DAF" w:rsidRPr="001E101F">
        <w:t>.</w:t>
      </w:r>
    </w:p>
    <w:p w14:paraId="3EFB249C" w14:textId="77777777" w:rsidR="001442F4" w:rsidRPr="001E101F" w:rsidRDefault="001442F4" w:rsidP="001C5831">
      <w:pPr>
        <w:spacing w:line="480" w:lineRule="auto"/>
        <w:rPr>
          <w:b/>
          <w:bCs/>
        </w:rPr>
      </w:pPr>
    </w:p>
    <w:p w14:paraId="38D789BA" w14:textId="4C21926C" w:rsidR="00AD3BA0" w:rsidRPr="001E101F" w:rsidRDefault="003F043B" w:rsidP="001C5831">
      <w:pPr>
        <w:spacing w:line="480" w:lineRule="auto"/>
        <w:rPr>
          <w:b/>
          <w:bCs/>
        </w:rPr>
      </w:pPr>
      <w:r w:rsidRPr="001E101F">
        <w:rPr>
          <w:b/>
          <w:bCs/>
        </w:rPr>
        <w:t>4</w:t>
      </w:r>
      <w:r w:rsidR="00AD3BA0" w:rsidRPr="001E101F">
        <w:rPr>
          <w:b/>
          <w:bCs/>
        </w:rPr>
        <w:t xml:space="preserve"> RECOMMENDATIONS</w:t>
      </w:r>
    </w:p>
    <w:p w14:paraId="08DB3F6D" w14:textId="4DBA2D60" w:rsidR="001524BE" w:rsidRPr="001E101F" w:rsidRDefault="001524BE" w:rsidP="001C5831">
      <w:pPr>
        <w:spacing w:line="480" w:lineRule="auto"/>
      </w:pPr>
      <w:r w:rsidRPr="001E101F">
        <w:t>The preceding section focused primarily on addressing the first question motivating this study—</w:t>
      </w:r>
      <w:r w:rsidRPr="001E101F">
        <w:rPr>
          <w:i/>
          <w:iCs/>
        </w:rPr>
        <w:t>can</w:t>
      </w:r>
      <w:r w:rsidRPr="001E101F">
        <w:t xml:space="preserve"> nature be incorporated into the law? Experiences observed around the world seem to suggest a</w:t>
      </w:r>
      <w:r w:rsidR="006A0906" w:rsidRPr="001E101F">
        <w:t xml:space="preserve"> </w:t>
      </w:r>
      <w:r w:rsidRPr="001E101F">
        <w:t>response</w:t>
      </w:r>
      <w:r w:rsidR="006A0906" w:rsidRPr="001E101F">
        <w:t xml:space="preserve"> in the affirmative</w:t>
      </w:r>
      <w:r w:rsidR="00B036C0" w:rsidRPr="001E101F">
        <w:t xml:space="preserve"> (theoretical objections notwithstanding)</w:t>
      </w:r>
      <w:r w:rsidRPr="001E101F">
        <w:t xml:space="preserve">. </w:t>
      </w:r>
      <w:r w:rsidR="00E94073" w:rsidRPr="001E101F">
        <w:t xml:space="preserve">That is, as a matter of positive law, it appears possible to situate nature within the frameworks of existing legal systems by expanding legal constructs, establishing ways to represent nature’s interests, and adopting contextually appropriate epistemologies. </w:t>
      </w:r>
      <w:r w:rsidRPr="001E101F">
        <w:t>In this penultimate section</w:t>
      </w:r>
      <w:r w:rsidR="00B036C0" w:rsidRPr="001E101F">
        <w:t>,</w:t>
      </w:r>
      <w:r w:rsidRPr="001E101F">
        <w:t xml:space="preserve"> I </w:t>
      </w:r>
      <w:r w:rsidR="00760AC8" w:rsidRPr="001E101F">
        <w:t xml:space="preserve">hazard a </w:t>
      </w:r>
      <w:r w:rsidRPr="001E101F">
        <w:t xml:space="preserve">tentative answer to the second question—how </w:t>
      </w:r>
      <w:r w:rsidRPr="001E101F">
        <w:rPr>
          <w:i/>
          <w:iCs/>
        </w:rPr>
        <w:t>should</w:t>
      </w:r>
      <w:r w:rsidRPr="001E101F">
        <w:t xml:space="preserve"> nature be incorporated into the law? </w:t>
      </w:r>
      <w:r w:rsidR="00760AC8" w:rsidRPr="001E101F">
        <w:t xml:space="preserve">This latter query </w:t>
      </w:r>
      <w:r w:rsidR="00B036C0" w:rsidRPr="001E101F">
        <w:t xml:space="preserve">necessarily invites a more normative reflection than does the former. </w:t>
      </w:r>
      <w:r w:rsidR="006852EC" w:rsidRPr="001E101F">
        <w:t xml:space="preserve">However, the point here is not so much to win an argument on the strength of my normative convictions. Rather, the goal is to present </w:t>
      </w:r>
      <w:r w:rsidR="00214D51" w:rsidRPr="001E101F">
        <w:t xml:space="preserve">a set of </w:t>
      </w:r>
      <w:r w:rsidR="006852EC" w:rsidRPr="001E101F">
        <w:t xml:space="preserve">normative issues that must be attended to </w:t>
      </w:r>
      <w:r w:rsidR="006A0906" w:rsidRPr="001E101F">
        <w:t xml:space="preserve">if the </w:t>
      </w:r>
      <w:proofErr w:type="spellStart"/>
      <w:r w:rsidR="00012F58" w:rsidRPr="001E101F">
        <w:t>RoN</w:t>
      </w:r>
      <w:proofErr w:type="spellEnd"/>
      <w:r w:rsidR="006A0906" w:rsidRPr="001E101F">
        <w:t xml:space="preserve"> project is to meet the challenge of confronting the concerns that inspired its genesis.</w:t>
      </w:r>
      <w:r w:rsidR="00214D51" w:rsidRPr="001E101F">
        <w:t xml:space="preserve"> Supporters of the </w:t>
      </w:r>
      <w:proofErr w:type="spellStart"/>
      <w:r w:rsidR="00012F58" w:rsidRPr="001E101F">
        <w:t>RoN</w:t>
      </w:r>
      <w:proofErr w:type="spellEnd"/>
      <w:r w:rsidR="00214D51" w:rsidRPr="001E101F">
        <w:t xml:space="preserve"> who nevertheless disagree with the points made below will need to explain how their position does not undercut the coherence of the movement, a result that would imperil its legitimacy and promise. </w:t>
      </w:r>
      <w:r w:rsidR="00705899" w:rsidRPr="001E101F">
        <w:t>I organize these normative issues into three categories—scope, method, and function</w:t>
      </w:r>
      <w:r w:rsidR="00917A39" w:rsidRPr="001E101F">
        <w:t xml:space="preserve">—which move beyond descriptive characterizations of </w:t>
      </w:r>
      <w:proofErr w:type="spellStart"/>
      <w:r w:rsidR="00917A39" w:rsidRPr="001E101F">
        <w:t>RoN</w:t>
      </w:r>
      <w:proofErr w:type="spellEnd"/>
      <w:r w:rsidR="00917A39" w:rsidRPr="001E101F">
        <w:t xml:space="preserve"> (i.e., form, mechanism, and orientation) and towards addressing how and why </w:t>
      </w:r>
      <w:proofErr w:type="spellStart"/>
      <w:r w:rsidR="00917A39" w:rsidRPr="001E101F">
        <w:t>RoN</w:t>
      </w:r>
      <w:proofErr w:type="spellEnd"/>
      <w:r w:rsidR="00917A39" w:rsidRPr="001E101F">
        <w:t xml:space="preserve"> should be implemented to achieve the intended goals of Law and Nature</w:t>
      </w:r>
      <w:r w:rsidR="00705899" w:rsidRPr="001E101F">
        <w:t>.</w:t>
      </w:r>
      <w:r w:rsidR="00824054" w:rsidRPr="001E101F">
        <w:t xml:space="preserve"> My position with respect to these areas is informed by ethical obligations urged in writings on Anthropocene</w:t>
      </w:r>
      <w:r w:rsidR="00C877A3" w:rsidRPr="001E101F">
        <w:t xml:space="preserve">, such as the need to </w:t>
      </w:r>
      <w:r w:rsidR="00931294" w:rsidRPr="001E101F">
        <w:t>Indigenize/</w:t>
      </w:r>
      <w:r w:rsidR="00FC5E95" w:rsidRPr="001E101F">
        <w:t>de</w:t>
      </w:r>
      <w:r w:rsidR="00931294" w:rsidRPr="001E101F">
        <w:t>colonize law</w:t>
      </w:r>
      <w:r w:rsidR="002B591C" w:rsidRPr="001E101F">
        <w:t>,</w:t>
      </w:r>
      <w:r w:rsidR="002B591C" w:rsidRPr="001E101F">
        <w:rPr>
          <w:rStyle w:val="FootnoteReference"/>
        </w:rPr>
        <w:footnoteReference w:id="67"/>
      </w:r>
      <w:r w:rsidR="00931294" w:rsidRPr="001E101F">
        <w:t xml:space="preserve"> </w:t>
      </w:r>
      <w:r w:rsidR="00EE6F34" w:rsidRPr="001E101F">
        <w:lastRenderedPageBreak/>
        <w:t xml:space="preserve">adopt </w:t>
      </w:r>
      <w:proofErr w:type="spellStart"/>
      <w:r w:rsidR="00EE6F34" w:rsidRPr="001E101F">
        <w:t>pluriversal</w:t>
      </w:r>
      <w:proofErr w:type="spellEnd"/>
      <w:r w:rsidR="00EE6F34" w:rsidRPr="001E101F">
        <w:t xml:space="preserve"> methodologies</w:t>
      </w:r>
      <w:r w:rsidR="00824054" w:rsidRPr="001E101F">
        <w:t>,</w:t>
      </w:r>
      <w:r w:rsidR="002B591C" w:rsidRPr="001E101F">
        <w:rPr>
          <w:rStyle w:val="FootnoteReference"/>
        </w:rPr>
        <w:footnoteReference w:id="68"/>
      </w:r>
      <w:r w:rsidR="00824054" w:rsidRPr="001E101F">
        <w:t xml:space="preserve"> </w:t>
      </w:r>
      <w:r w:rsidR="00863578" w:rsidRPr="001E101F">
        <w:t>eliminat</w:t>
      </w:r>
      <w:r w:rsidR="00C877A3" w:rsidRPr="001E101F">
        <w:t>e</w:t>
      </w:r>
      <w:r w:rsidR="00863578" w:rsidRPr="001E101F">
        <w:t xml:space="preserve"> anthropocentrism,</w:t>
      </w:r>
      <w:r w:rsidR="00AA4FF3" w:rsidRPr="001E101F">
        <w:rPr>
          <w:rStyle w:val="FootnoteReference"/>
        </w:rPr>
        <w:footnoteReference w:id="69"/>
      </w:r>
      <w:r w:rsidR="008F526D" w:rsidRPr="001E101F">
        <w:t xml:space="preserve"> </w:t>
      </w:r>
      <w:r w:rsidR="00824054" w:rsidRPr="001E101F">
        <w:t xml:space="preserve">and </w:t>
      </w:r>
      <w:r w:rsidR="00EE6F34" w:rsidRPr="001E101F">
        <w:t>pursu</w:t>
      </w:r>
      <w:r w:rsidR="00C877A3" w:rsidRPr="001E101F">
        <w:t>e</w:t>
      </w:r>
      <w:r w:rsidR="00EE6F34" w:rsidRPr="001E101F">
        <w:t xml:space="preserve"> </w:t>
      </w:r>
      <w:r w:rsidR="00824054" w:rsidRPr="001E101F">
        <w:t>multispecies justice.</w:t>
      </w:r>
      <w:r w:rsidR="008B6553" w:rsidRPr="001E101F">
        <w:rPr>
          <w:rStyle w:val="FootnoteReference"/>
        </w:rPr>
        <w:footnoteReference w:id="70"/>
      </w:r>
      <w:r w:rsidR="00824054" w:rsidRPr="001E101F">
        <w:t xml:space="preserve"> </w:t>
      </w:r>
    </w:p>
    <w:p w14:paraId="0B925755" w14:textId="65D68C5D" w:rsidR="0040368F" w:rsidRPr="001E101F" w:rsidRDefault="006811E2" w:rsidP="001C5831">
      <w:pPr>
        <w:spacing w:line="480" w:lineRule="auto"/>
        <w:ind w:firstLine="720"/>
      </w:pPr>
      <w:r w:rsidRPr="001E101F">
        <w:t xml:space="preserve">First, </w:t>
      </w:r>
      <w:r w:rsidR="00705899" w:rsidRPr="001E101F">
        <w:t xml:space="preserve">in terms of </w:t>
      </w:r>
      <w:r w:rsidR="00705899" w:rsidRPr="001E101F">
        <w:rPr>
          <w:i/>
          <w:iCs/>
        </w:rPr>
        <w:t>scope</w:t>
      </w:r>
      <w:r w:rsidR="00705899" w:rsidRPr="001E101F">
        <w:t xml:space="preserve">, what is the proper </w:t>
      </w:r>
      <w:r w:rsidR="00E40ED6" w:rsidRPr="001E101F">
        <w:t>geographic scale</w:t>
      </w:r>
      <w:r w:rsidR="00705899" w:rsidRPr="001E101F">
        <w:t xml:space="preserve"> at which </w:t>
      </w:r>
      <w:proofErr w:type="spellStart"/>
      <w:r w:rsidR="00012F58" w:rsidRPr="001E101F">
        <w:t>RoN</w:t>
      </w:r>
      <w:proofErr w:type="spellEnd"/>
      <w:r w:rsidR="00705899" w:rsidRPr="001E101F">
        <w:t xml:space="preserve"> should be enacted? While there is certainly an argument to be made that nature </w:t>
      </w:r>
      <w:r w:rsidR="00AD5C66" w:rsidRPr="001E101F">
        <w:t xml:space="preserve">as a subject of rights </w:t>
      </w:r>
      <w:r w:rsidR="00705899" w:rsidRPr="001E101F">
        <w:t>should be conceived a</w:t>
      </w:r>
      <w:r w:rsidR="00AD5C66" w:rsidRPr="001E101F">
        <w:t xml:space="preserve">s a </w:t>
      </w:r>
      <w:r w:rsidR="00705899" w:rsidRPr="001E101F">
        <w:t xml:space="preserve">global </w:t>
      </w:r>
      <w:r w:rsidR="00AD5C66" w:rsidRPr="001E101F">
        <w:t>entity in need of protection at the international level</w:t>
      </w:r>
      <w:r w:rsidR="00705899" w:rsidRPr="001E101F">
        <w:t>, as some social movements have</w:t>
      </w:r>
      <w:r w:rsidR="004F786A" w:rsidRPr="001E101F">
        <w:t>,</w:t>
      </w:r>
      <w:r w:rsidR="004F786A" w:rsidRPr="001E101F">
        <w:rPr>
          <w:rStyle w:val="FootnoteReference"/>
        </w:rPr>
        <w:footnoteReference w:id="71"/>
      </w:r>
      <w:r w:rsidR="00705899" w:rsidRPr="001E101F">
        <w:t xml:space="preserve"> </w:t>
      </w:r>
      <w:r w:rsidR="00AD5C66" w:rsidRPr="001E101F">
        <w:t xml:space="preserve">doing so might cut against how various Indigenous groups and non-Western societies construe the environment and their relationship with it. For instance, the </w:t>
      </w:r>
      <w:proofErr w:type="spellStart"/>
      <w:r w:rsidR="00AD5C66" w:rsidRPr="001E101F">
        <w:t>Maōri</w:t>
      </w:r>
      <w:proofErr w:type="spellEnd"/>
      <w:r w:rsidR="00AD5C66" w:rsidRPr="001E101F">
        <w:t xml:space="preserve"> have a unique cultural association </w:t>
      </w:r>
      <w:r w:rsidR="0041054C" w:rsidRPr="001E101F">
        <w:t>with</w:t>
      </w:r>
      <w:r w:rsidR="00AD5C66" w:rsidRPr="001E101F">
        <w:t xml:space="preserve"> the Whanganui River ecosystem </w:t>
      </w:r>
      <w:r w:rsidR="0041054C" w:rsidRPr="001E101F">
        <w:t>of Aotearoa New Zealand,</w:t>
      </w:r>
      <w:r w:rsidR="00DF2F5A" w:rsidRPr="001E101F">
        <w:rPr>
          <w:rStyle w:val="FootnoteReference"/>
        </w:rPr>
        <w:footnoteReference w:id="72"/>
      </w:r>
      <w:r w:rsidR="0041054C" w:rsidRPr="001E101F">
        <w:t xml:space="preserve"> which is not necessarily applicable to all riverine systems around the world. </w:t>
      </w:r>
      <w:r w:rsidR="00AD5C66" w:rsidRPr="001E101F">
        <w:t xml:space="preserve">As such, </w:t>
      </w:r>
      <w:r w:rsidR="0041054C" w:rsidRPr="001E101F">
        <w:t xml:space="preserve">it would be inappropriate to export the </w:t>
      </w:r>
      <w:proofErr w:type="spellStart"/>
      <w:r w:rsidR="0041054C" w:rsidRPr="001E101F">
        <w:t>Maōri</w:t>
      </w:r>
      <w:proofErr w:type="spellEnd"/>
      <w:r w:rsidR="0041054C" w:rsidRPr="001E101F">
        <w:t xml:space="preserve"> worldview and its distinctive take on the status of nature to environments far removed from the group’s ancestral homeland. </w:t>
      </w:r>
      <w:r w:rsidR="00850E10" w:rsidRPr="001E101F">
        <w:t xml:space="preserve">Therefore, </w:t>
      </w:r>
      <w:proofErr w:type="gramStart"/>
      <w:r w:rsidR="00850E10" w:rsidRPr="001E101F">
        <w:t>in order to</w:t>
      </w:r>
      <w:proofErr w:type="gramEnd"/>
      <w:r w:rsidR="00850E10" w:rsidRPr="001E101F">
        <w:t xml:space="preserve"> properly respect the special relationships that Indigenous and First Nations peoples have with nature, the </w:t>
      </w:r>
      <w:proofErr w:type="spellStart"/>
      <w:r w:rsidR="00012F58" w:rsidRPr="001E101F">
        <w:t>RoN</w:t>
      </w:r>
      <w:proofErr w:type="spellEnd"/>
      <w:r w:rsidR="00850E10" w:rsidRPr="001E101F">
        <w:t xml:space="preserve"> should be implemented</w:t>
      </w:r>
      <w:r w:rsidR="0041054C" w:rsidRPr="001E101F">
        <w:t xml:space="preserve"> </w:t>
      </w:r>
      <w:r w:rsidR="00850E10" w:rsidRPr="001E101F">
        <w:t xml:space="preserve">at scales commensurate with </w:t>
      </w:r>
      <w:r w:rsidR="00824054" w:rsidRPr="001E101F">
        <w:t>the geographic contours found in Indigenous ontologies.</w:t>
      </w:r>
    </w:p>
    <w:p w14:paraId="407A81D5" w14:textId="6A95149A" w:rsidR="0040368F" w:rsidRPr="001E101F" w:rsidRDefault="00F6299B" w:rsidP="001C5831">
      <w:pPr>
        <w:spacing w:line="480" w:lineRule="auto"/>
        <w:ind w:firstLine="720"/>
      </w:pPr>
      <w:r w:rsidRPr="001E101F">
        <w:t xml:space="preserve">Second, </w:t>
      </w:r>
      <w:r w:rsidR="008F79B0" w:rsidRPr="001E101F">
        <w:t>regarding</w:t>
      </w:r>
      <w:r w:rsidRPr="001E101F">
        <w:t xml:space="preserve"> </w:t>
      </w:r>
      <w:r w:rsidRPr="001E101F">
        <w:rPr>
          <w:i/>
          <w:iCs/>
        </w:rPr>
        <w:t>method</w:t>
      </w:r>
      <w:r w:rsidRPr="001E101F">
        <w:t xml:space="preserve">, </w:t>
      </w:r>
      <w:r w:rsidR="004B6B4F" w:rsidRPr="001E101F">
        <w:t xml:space="preserve">how </w:t>
      </w:r>
      <w:r w:rsidR="008F79B0" w:rsidRPr="001E101F">
        <w:t>should law be</w:t>
      </w:r>
      <w:r w:rsidR="004B6B4F" w:rsidRPr="001E101F">
        <w:t xml:space="preserve"> </w:t>
      </w:r>
      <w:r w:rsidR="008F79B0" w:rsidRPr="001E101F">
        <w:t>(re)</w:t>
      </w:r>
      <w:r w:rsidR="004B6B4F" w:rsidRPr="001E101F">
        <w:t>conceptualize</w:t>
      </w:r>
      <w:r w:rsidR="008F79B0" w:rsidRPr="001E101F">
        <w:t>d</w:t>
      </w:r>
      <w:r w:rsidR="004B6B4F" w:rsidRPr="001E101F">
        <w:t xml:space="preserve"> </w:t>
      </w:r>
      <w:r w:rsidR="00EA1492" w:rsidRPr="001E101F">
        <w:t xml:space="preserve">where the more-than-human world is concerned? I argue that our goal here should be to </w:t>
      </w:r>
      <w:r w:rsidR="008F79B0" w:rsidRPr="001E101F">
        <w:t xml:space="preserve">elevate the </w:t>
      </w:r>
      <w:r w:rsidR="00EA1492" w:rsidRPr="001E101F">
        <w:t xml:space="preserve">moral (and thus legal) </w:t>
      </w:r>
      <w:r w:rsidR="008F79B0" w:rsidRPr="001E101F">
        <w:t>status of nature while respecting cultural differences across jurisdictional landscapes</w:t>
      </w:r>
      <w:r w:rsidR="00EA1492" w:rsidRPr="001E101F">
        <w:t>.</w:t>
      </w:r>
      <w:r w:rsidR="008F79B0" w:rsidRPr="001E101F">
        <w:t xml:space="preserve"> </w:t>
      </w:r>
      <w:r w:rsidR="008F79B0" w:rsidRPr="001E101F">
        <w:lastRenderedPageBreak/>
        <w:t xml:space="preserve">Epistemologically speaking, fostering this </w:t>
      </w:r>
      <w:r w:rsidR="00EA1492" w:rsidRPr="001E101F">
        <w:t xml:space="preserve">kind of </w:t>
      </w:r>
      <w:r w:rsidR="00EA1A70" w:rsidRPr="001E101F">
        <w:t>transformation</w:t>
      </w:r>
      <w:r w:rsidR="008F79B0" w:rsidRPr="001E101F">
        <w:t xml:space="preserve"> requires </w:t>
      </w:r>
      <w:r w:rsidR="0040368F" w:rsidRPr="001E101F">
        <w:t>cast</w:t>
      </w:r>
      <w:r w:rsidR="008F79B0" w:rsidRPr="001E101F">
        <w:t>ing</w:t>
      </w:r>
      <w:r w:rsidR="0040368F" w:rsidRPr="001E101F">
        <w:t xml:space="preserve"> aside </w:t>
      </w:r>
      <w:r w:rsidR="008F79B0" w:rsidRPr="001E101F">
        <w:t>the hegemonic, universalizing notion of a</w:t>
      </w:r>
      <w:r w:rsidR="0040368F" w:rsidRPr="001E101F">
        <w:t xml:space="preserve"> “One-World World”</w:t>
      </w:r>
      <w:r w:rsidR="00F261DA" w:rsidRPr="001E101F">
        <w:rPr>
          <w:rStyle w:val="FootnoteReference"/>
        </w:rPr>
        <w:footnoteReference w:id="73"/>
      </w:r>
      <w:r w:rsidR="0040368F" w:rsidRPr="001E101F">
        <w:t xml:space="preserve"> </w:t>
      </w:r>
      <w:r w:rsidR="008F79B0" w:rsidRPr="001E101F">
        <w:t>and replacing it with a</w:t>
      </w:r>
      <w:r w:rsidR="0040368F" w:rsidRPr="001E101F">
        <w:t xml:space="preserve"> “</w:t>
      </w:r>
      <w:proofErr w:type="spellStart"/>
      <w:r w:rsidR="0040368F" w:rsidRPr="001E101F">
        <w:t>pluriversal</w:t>
      </w:r>
      <w:proofErr w:type="spellEnd"/>
      <w:r w:rsidR="0040368F" w:rsidRPr="001E101F">
        <w:t xml:space="preserve"> politics”</w:t>
      </w:r>
      <w:r w:rsidR="00F261DA" w:rsidRPr="001E101F">
        <w:rPr>
          <w:rStyle w:val="FootnoteReference"/>
        </w:rPr>
        <w:footnoteReference w:id="74"/>
      </w:r>
      <w:r w:rsidR="0040368F" w:rsidRPr="001E101F">
        <w:t xml:space="preserve"> </w:t>
      </w:r>
      <w:r w:rsidR="008F79B0" w:rsidRPr="001E101F">
        <w:t xml:space="preserve">that honors diversity of thought and being. </w:t>
      </w:r>
      <w:r w:rsidR="000E7A17" w:rsidRPr="001E101F">
        <w:t>Consider the “grammar of animacy” found in the Potawatomi language, in which all members of the animate world—from animals to humans to nature—are described using similar verbs.</w:t>
      </w:r>
      <w:r w:rsidR="000E7A17" w:rsidRPr="001E101F">
        <w:rPr>
          <w:rStyle w:val="FootnoteReference"/>
        </w:rPr>
        <w:footnoteReference w:id="75"/>
      </w:r>
      <w:r w:rsidR="000E7A17" w:rsidRPr="001E101F">
        <w:t xml:space="preserve"> </w:t>
      </w:r>
      <w:r w:rsidR="009D57CE" w:rsidRPr="001E101F">
        <w:t xml:space="preserve">This lexical practice eliminates the Western legal conceit that treats non-humans as objects instead of subjects. </w:t>
      </w:r>
      <w:r w:rsidR="008F79B0" w:rsidRPr="001E101F">
        <w:t xml:space="preserve">Next, </w:t>
      </w:r>
      <w:r w:rsidR="00F84C6C" w:rsidRPr="001E101F">
        <w:t>w</w:t>
      </w:r>
      <w:r w:rsidR="0040368F" w:rsidRPr="001E101F">
        <w:t>e must transition from</w:t>
      </w:r>
      <w:r w:rsidR="00F84C6C" w:rsidRPr="001E101F">
        <w:t xml:space="preserve"> perceiving</w:t>
      </w:r>
      <w:r w:rsidR="0040368F" w:rsidRPr="001E101F">
        <w:t xml:space="preserve"> law as </w:t>
      </w:r>
      <w:r w:rsidR="00F84C6C" w:rsidRPr="001E101F">
        <w:t xml:space="preserve">a </w:t>
      </w:r>
      <w:r w:rsidR="0040368F" w:rsidRPr="001E101F">
        <w:t>language</w:t>
      </w:r>
      <w:r w:rsidR="00F84C6C" w:rsidRPr="001E101F">
        <w:t xml:space="preserve"> for articulating rules that “impose duties” or “confer powers”</w:t>
      </w:r>
      <w:r w:rsidR="00457201" w:rsidRPr="001E101F">
        <w:rPr>
          <w:rStyle w:val="FootnoteReference"/>
        </w:rPr>
        <w:footnoteReference w:id="76"/>
      </w:r>
      <w:r w:rsidR="0040368F" w:rsidRPr="001E101F">
        <w:t xml:space="preserve"> to </w:t>
      </w:r>
      <w:r w:rsidR="00F84C6C" w:rsidRPr="001E101F">
        <w:t xml:space="preserve">reimagining </w:t>
      </w:r>
      <w:r w:rsidR="0040368F" w:rsidRPr="001E101F">
        <w:t xml:space="preserve">law as </w:t>
      </w:r>
      <w:r w:rsidR="00F84C6C" w:rsidRPr="001E101F">
        <w:t>a “</w:t>
      </w:r>
      <w:r w:rsidR="0040368F" w:rsidRPr="001E101F">
        <w:t>way</w:t>
      </w:r>
      <w:r w:rsidR="00F84C6C" w:rsidRPr="001E101F">
        <w:t xml:space="preserve"> of life</w:t>
      </w:r>
      <w:r w:rsidR="0040368F" w:rsidRPr="001E101F">
        <w:t>”</w:t>
      </w:r>
      <w:r w:rsidR="00D07CB4" w:rsidRPr="001E101F">
        <w:rPr>
          <w:rStyle w:val="FootnoteReference"/>
        </w:rPr>
        <w:footnoteReference w:id="77"/>
      </w:r>
      <w:r w:rsidR="0040368F" w:rsidRPr="001E101F">
        <w:t xml:space="preserve"> </w:t>
      </w:r>
      <w:r w:rsidR="00F84C6C" w:rsidRPr="001E101F">
        <w:t>that treats natural entities</w:t>
      </w:r>
      <w:r w:rsidR="0066239C" w:rsidRPr="001E101F">
        <w:t xml:space="preserve"> both</w:t>
      </w:r>
      <w:r w:rsidR="00F84C6C" w:rsidRPr="001E101F">
        <w:t xml:space="preserve"> as law</w:t>
      </w:r>
      <w:r w:rsidR="0066239C" w:rsidRPr="001E101F">
        <w:t xml:space="preserve"> and as “law-producing selves”</w:t>
      </w:r>
      <w:r w:rsidR="00D07CB4" w:rsidRPr="001E101F">
        <w:t>.</w:t>
      </w:r>
      <w:r w:rsidR="00D07CB4" w:rsidRPr="001E101F">
        <w:rPr>
          <w:rStyle w:val="FootnoteReference"/>
        </w:rPr>
        <w:footnoteReference w:id="78"/>
      </w:r>
      <w:r w:rsidR="00F84C6C" w:rsidRPr="001E101F">
        <w:t xml:space="preserve"> The practical implication of such a paradigm </w:t>
      </w:r>
      <w:r w:rsidR="00EA1A70" w:rsidRPr="001E101F">
        <w:t xml:space="preserve">shift is that instead of making cosmetic adjustments to law using conventional legal technologies (i.e., judicial standing, legal rights, etc.) so that </w:t>
      </w:r>
      <w:r w:rsidR="004C7318" w:rsidRPr="001E101F">
        <w:t>the system</w:t>
      </w:r>
      <w:r w:rsidR="00EA1A70" w:rsidRPr="001E101F">
        <w:t xml:space="preserve"> becomes more hospitable to treating nature as an entity capable of legal relations, we can adopt more radically inclusive </w:t>
      </w:r>
      <w:r w:rsidR="00EA1492" w:rsidRPr="001E101F">
        <w:t>ontologies</w:t>
      </w:r>
      <w:r w:rsidR="00217940" w:rsidRPr="001E101F">
        <w:t xml:space="preserve"> from the outset</w:t>
      </w:r>
      <w:r w:rsidR="00EA1492" w:rsidRPr="001E101F">
        <w:t xml:space="preserve">. For example, </w:t>
      </w:r>
      <w:r w:rsidR="0033301B" w:rsidRPr="001E101F">
        <w:t xml:space="preserve">under </w:t>
      </w:r>
      <w:r w:rsidR="00E4799D" w:rsidRPr="001E101F">
        <w:t>current</w:t>
      </w:r>
      <w:r w:rsidR="0033301B" w:rsidRPr="001E101F">
        <w:t xml:space="preserve"> interpretation</w:t>
      </w:r>
      <w:r w:rsidR="00E4799D" w:rsidRPr="001E101F">
        <w:t>s</w:t>
      </w:r>
      <w:r w:rsidR="0033301B" w:rsidRPr="001E101F">
        <w:t xml:space="preserve"> of </w:t>
      </w:r>
      <w:r w:rsidR="004C7318" w:rsidRPr="001E101F">
        <w:t xml:space="preserve">modern </w:t>
      </w:r>
      <w:r w:rsidR="0033301B" w:rsidRPr="001E101F">
        <w:t xml:space="preserve">law we need merely </w:t>
      </w:r>
      <w:r w:rsidR="00E4799D" w:rsidRPr="001E101F">
        <w:t xml:space="preserve">adapt existing constructs (i.e., </w:t>
      </w:r>
      <w:r w:rsidR="00E4799D" w:rsidRPr="001E101F">
        <w:rPr>
          <w:i/>
          <w:iCs/>
        </w:rPr>
        <w:t>in loco parentis</w:t>
      </w:r>
      <w:r w:rsidR="00E4799D" w:rsidRPr="001E101F">
        <w:t>) in ways that render nature’s interests intelligible to hermeneutically insular legal systems. B</w:t>
      </w:r>
      <w:r w:rsidR="004C7318" w:rsidRPr="001E101F">
        <w:t xml:space="preserve">ut if we </w:t>
      </w:r>
      <w:r w:rsidR="00E4799D" w:rsidRPr="001E101F">
        <w:t xml:space="preserve">reconceptualize law itself and </w:t>
      </w:r>
      <w:r w:rsidR="004C7318" w:rsidRPr="001E101F">
        <w:t xml:space="preserve">adhere to a </w:t>
      </w:r>
      <w:proofErr w:type="spellStart"/>
      <w:r w:rsidR="004C7318" w:rsidRPr="001E101F">
        <w:t>pluriversal</w:t>
      </w:r>
      <w:proofErr w:type="spellEnd"/>
      <w:r w:rsidR="004C7318" w:rsidRPr="001E101F">
        <w:t xml:space="preserve"> account </w:t>
      </w:r>
      <w:r w:rsidR="00E4799D" w:rsidRPr="001E101F">
        <w:t xml:space="preserve">of </w:t>
      </w:r>
      <w:r w:rsidR="004C7318" w:rsidRPr="001E101F">
        <w:t>it</w:t>
      </w:r>
      <w:r w:rsidR="00E4799D" w:rsidRPr="001E101F">
        <w:t>, we open ourselves to bold new legal imaginaries, such as</w:t>
      </w:r>
      <w:r w:rsidR="004C7318" w:rsidRPr="001E101F">
        <w:t xml:space="preserve"> </w:t>
      </w:r>
      <w:r w:rsidR="0040368F" w:rsidRPr="001E101F">
        <w:t>“listening-with”</w:t>
      </w:r>
      <w:r w:rsidR="00BC5E11" w:rsidRPr="001E101F">
        <w:rPr>
          <w:rStyle w:val="FootnoteReference"/>
        </w:rPr>
        <w:footnoteReference w:id="79"/>
      </w:r>
      <w:r w:rsidR="003A1C0D" w:rsidRPr="001E101F">
        <w:t xml:space="preserve"> the more-than-human world, a methodology that includes </w:t>
      </w:r>
      <w:r w:rsidR="005C2ED3" w:rsidRPr="001E101F">
        <w:t xml:space="preserve">(but is not limited to) </w:t>
      </w:r>
      <w:r w:rsidR="003A1C0D" w:rsidRPr="001E101F">
        <w:t xml:space="preserve">artistic </w:t>
      </w:r>
      <w:r w:rsidR="003A1C0D" w:rsidRPr="001E101F">
        <w:lastRenderedPageBreak/>
        <w:t xml:space="preserve">performance, shamanistic practices, and learning from </w:t>
      </w:r>
      <w:r w:rsidR="00230DE5" w:rsidRPr="001E101F">
        <w:t>insentient nature</w:t>
      </w:r>
      <w:r w:rsidR="003A1C0D" w:rsidRPr="001E101F">
        <w:t>.</w:t>
      </w:r>
      <w:r w:rsidR="00BC5E11" w:rsidRPr="001E101F">
        <w:rPr>
          <w:rStyle w:val="FootnoteReference"/>
        </w:rPr>
        <w:footnoteReference w:id="80"/>
      </w:r>
      <w:r w:rsidR="003A1C0D" w:rsidRPr="001E101F">
        <w:t xml:space="preserve"> </w:t>
      </w:r>
      <w:r w:rsidR="000F4BF0" w:rsidRPr="001E101F">
        <w:t xml:space="preserve">If we take seriously our objective to find better ways to ensure nature is not an afterthought but a priority, more than mere property or a mute legal vessel, we have an ethical obligation to open ourselves up to the possibilities that inhere in the worldviews of cultures </w:t>
      </w:r>
      <w:r w:rsidR="009728E6" w:rsidRPr="001E101F">
        <w:t xml:space="preserve">historically </w:t>
      </w:r>
      <w:r w:rsidR="000F4BF0" w:rsidRPr="001E101F">
        <w:t>maligned by modern law.</w:t>
      </w:r>
    </w:p>
    <w:p w14:paraId="16E4B36B" w14:textId="397EEE58" w:rsidR="0040368F" w:rsidRPr="001E101F" w:rsidRDefault="00000535" w:rsidP="001C5831">
      <w:pPr>
        <w:spacing w:line="480" w:lineRule="auto"/>
      </w:pPr>
      <w:r w:rsidRPr="001E101F">
        <w:tab/>
        <w:t xml:space="preserve">Third, with respect to </w:t>
      </w:r>
      <w:r w:rsidRPr="001E101F">
        <w:rPr>
          <w:i/>
          <w:iCs/>
        </w:rPr>
        <w:t>function</w:t>
      </w:r>
      <w:r w:rsidRPr="001E101F">
        <w:t xml:space="preserve">, how should law address </w:t>
      </w:r>
      <w:r w:rsidR="002F2A29" w:rsidRPr="001E101F">
        <w:t>the moral consequences of its</w:t>
      </w:r>
      <w:r w:rsidRPr="001E101F">
        <w:t xml:space="preserve"> anthropocentri</w:t>
      </w:r>
      <w:r w:rsidR="002F2A29" w:rsidRPr="001E101F">
        <w:t xml:space="preserve">c outlook? As many have forcefully contended before me, the individualistic, human-centered foundation undergirding Western legal systems </w:t>
      </w:r>
      <w:r w:rsidR="007F7538" w:rsidRPr="001E101F">
        <w:t>has</w:t>
      </w:r>
      <w:r w:rsidR="00BB324F" w:rsidRPr="001E101F">
        <w:t xml:space="preserve"> creat</w:t>
      </w:r>
      <w:r w:rsidR="007F7538" w:rsidRPr="001E101F">
        <w:t xml:space="preserve">ed the </w:t>
      </w:r>
      <w:r w:rsidR="002F2A29" w:rsidRPr="001E101F">
        <w:t xml:space="preserve">structural conditions </w:t>
      </w:r>
      <w:r w:rsidR="007F7538" w:rsidRPr="001E101F">
        <w:t>responsible for ongoing</w:t>
      </w:r>
      <w:r w:rsidR="00BB324F" w:rsidRPr="001E101F">
        <w:t xml:space="preserve"> environmental destruction</w:t>
      </w:r>
      <w:r w:rsidR="007F7538" w:rsidRPr="001E101F">
        <w:t>.</w:t>
      </w:r>
      <w:r w:rsidR="00B66CAA" w:rsidRPr="001E101F">
        <w:rPr>
          <w:rStyle w:val="FootnoteReference"/>
        </w:rPr>
        <w:footnoteReference w:id="81"/>
      </w:r>
      <w:r w:rsidR="007F7538" w:rsidRPr="001E101F">
        <w:t xml:space="preserve"> In order to change course and move towards a more just future, I argue that law</w:t>
      </w:r>
      <w:r w:rsidR="0040368F" w:rsidRPr="001E101F">
        <w:t xml:space="preserve"> need</w:t>
      </w:r>
      <w:r w:rsidR="007F7538" w:rsidRPr="001E101F">
        <w:t>s</w:t>
      </w:r>
      <w:r w:rsidR="0040368F" w:rsidRPr="001E101F">
        <w:t xml:space="preserve"> to be equipped to de</w:t>
      </w:r>
      <w:r w:rsidR="007F7538" w:rsidRPr="001E101F">
        <w:t>throne</w:t>
      </w:r>
      <w:r w:rsidR="0040368F" w:rsidRPr="001E101F">
        <w:t xml:space="preserve"> huma</w:t>
      </w:r>
      <w:r w:rsidR="007F7538" w:rsidRPr="001E101F">
        <w:t xml:space="preserve">ns from their place atop the moral hierarchy. Practically speaking, this would require </w:t>
      </w:r>
      <w:r w:rsidR="007742A3" w:rsidRPr="001E101F">
        <w:t xml:space="preserve">law to function in such a way that more-than-human interests would have to be considered </w:t>
      </w:r>
      <w:r w:rsidR="00C76722" w:rsidRPr="001E101F">
        <w:t xml:space="preserve">(at least) </w:t>
      </w:r>
      <w:r w:rsidR="007742A3" w:rsidRPr="001E101F">
        <w:t>on par with those of humans, and that in situations in which they conflict, it must be possible for the former to take pr</w:t>
      </w:r>
      <w:r w:rsidR="00D07D39" w:rsidRPr="001E101F">
        <w:t>ecedence</w:t>
      </w:r>
      <w:r w:rsidR="007742A3" w:rsidRPr="001E101F">
        <w:t xml:space="preserve"> over the latter. As an example, in </w:t>
      </w:r>
      <w:r w:rsidR="00815EB8" w:rsidRPr="001E101F">
        <w:rPr>
          <w:i/>
          <w:iCs/>
        </w:rPr>
        <w:t>Tennessee Valley Authority v. Hill</w:t>
      </w:r>
      <w:r w:rsidR="006207B2" w:rsidRPr="001E101F">
        <w:t>,</w:t>
      </w:r>
      <w:r w:rsidR="006207B2" w:rsidRPr="001E101F">
        <w:rPr>
          <w:rStyle w:val="FootnoteReference"/>
        </w:rPr>
        <w:footnoteReference w:id="82"/>
      </w:r>
      <w:r w:rsidR="006207B2" w:rsidRPr="001E101F">
        <w:t xml:space="preserve"> </w:t>
      </w:r>
      <w:r w:rsidR="00815EB8" w:rsidRPr="001E101F">
        <w:t>conservationists filed suit to enjoin</w:t>
      </w:r>
      <w:r w:rsidR="007742A3" w:rsidRPr="001E101F">
        <w:t xml:space="preserve"> a major dam project </w:t>
      </w:r>
      <w:r w:rsidR="00815EB8" w:rsidRPr="001E101F">
        <w:t xml:space="preserve">that they argued </w:t>
      </w:r>
      <w:r w:rsidR="007742A3" w:rsidRPr="001E101F">
        <w:t xml:space="preserve">would </w:t>
      </w:r>
      <w:r w:rsidR="00B255F3" w:rsidRPr="001E101F">
        <w:t>jeopardize</w:t>
      </w:r>
      <w:r w:rsidR="007742A3" w:rsidRPr="001E101F">
        <w:t xml:space="preserve"> the </w:t>
      </w:r>
      <w:r w:rsidR="00815EB8" w:rsidRPr="001E101F">
        <w:t xml:space="preserve">habitat of an endangered species of fish, the </w:t>
      </w:r>
      <w:r w:rsidR="007742A3" w:rsidRPr="001E101F">
        <w:t xml:space="preserve">snail darter, which </w:t>
      </w:r>
      <w:r w:rsidR="00815EB8" w:rsidRPr="001E101F">
        <w:t>enjoyed protection</w:t>
      </w:r>
      <w:r w:rsidR="007742A3" w:rsidRPr="001E101F">
        <w:t xml:space="preserve"> under the </w:t>
      </w:r>
      <w:r w:rsidR="00815EB8" w:rsidRPr="001E101F">
        <w:t xml:space="preserve">1973 </w:t>
      </w:r>
      <w:r w:rsidR="007742A3" w:rsidRPr="001E101F">
        <w:t>Endangered Species Act. T</w:t>
      </w:r>
      <w:r w:rsidR="00815EB8" w:rsidRPr="001E101F">
        <w:t xml:space="preserve">he U.S. Supreme Court ultimately held that because </w:t>
      </w:r>
      <w:r w:rsidR="007742A3" w:rsidRPr="001E101F">
        <w:t xml:space="preserve">construction of the dam </w:t>
      </w:r>
      <w:r w:rsidR="00815EB8" w:rsidRPr="001E101F">
        <w:t>could lead to the extinction of the snail darter, it should not be permitted to</w:t>
      </w:r>
      <w:r w:rsidR="007742A3" w:rsidRPr="001E101F">
        <w:t xml:space="preserve"> continue. </w:t>
      </w:r>
      <w:r w:rsidR="00E26B14" w:rsidRPr="001E101F">
        <w:t xml:space="preserve">What is significant about this case is not merely that law existed to safeguard animal species at risk of elimination, but also that human actors demonstrated a willingness to faithfully execute legislation to the detriment of human interests (i.e., building infrastructure to foster economic </w:t>
      </w:r>
      <w:r w:rsidR="00E26B14" w:rsidRPr="001E101F">
        <w:lastRenderedPageBreak/>
        <w:t xml:space="preserve">development). </w:t>
      </w:r>
      <w:r w:rsidR="000071EB" w:rsidRPr="001E101F">
        <w:t>Although it is not the objective here to offer a comprehensive plan for (re)making law more responsive to the needs of nature</w:t>
      </w:r>
      <w:r w:rsidR="00ED33F4" w:rsidRPr="001E101F">
        <w:t xml:space="preserve"> at the (potential) expense of human desires, suffice it to say that replacing law’s anthropocentric edifice with a more ontologically equitable one is an ethically necessary endeavor given our knowledge about the </w:t>
      </w:r>
      <w:r w:rsidR="001837A5" w:rsidRPr="001E101F">
        <w:t xml:space="preserve">range of </w:t>
      </w:r>
      <w:r w:rsidR="00ED33F4" w:rsidRPr="001E101F">
        <w:t>intergenerational, intragenerational, and multispecies injustices promoted by the current legal order.</w:t>
      </w:r>
    </w:p>
    <w:p w14:paraId="135D6F19" w14:textId="379581CF" w:rsidR="00851399" w:rsidRPr="001E101F" w:rsidRDefault="00527E66" w:rsidP="001C5831">
      <w:pPr>
        <w:spacing w:line="480" w:lineRule="auto"/>
      </w:pPr>
      <w:r w:rsidRPr="001E101F">
        <w:tab/>
      </w:r>
      <w:r w:rsidR="002C21DD" w:rsidRPr="001E101F">
        <w:t xml:space="preserve">This section </w:t>
      </w:r>
      <w:r w:rsidR="00F95A01" w:rsidRPr="001E101F">
        <w:t>sketched</w:t>
      </w:r>
      <w:r w:rsidR="002C21DD" w:rsidRPr="001E101F">
        <w:t xml:space="preserve"> a</w:t>
      </w:r>
      <w:r w:rsidR="00F95A01" w:rsidRPr="001E101F">
        <w:t xml:space="preserve"> tentative </w:t>
      </w:r>
      <w:r w:rsidR="002C21DD" w:rsidRPr="001E101F">
        <w:t xml:space="preserve">answer to the question of how nature should be incorporated into the law. Dividing the response into three parts—scope, method, and function—I leaned on </w:t>
      </w:r>
      <w:r w:rsidR="00F95A01" w:rsidRPr="001E101F">
        <w:t xml:space="preserve">normative </w:t>
      </w:r>
      <w:r w:rsidR="002C21DD" w:rsidRPr="001E101F">
        <w:t xml:space="preserve">insights gleaned from scholars who have treated the Anthropocene as a critical juncture worthy of serious deliberation about how to imagine and realize a just, more-than-human future. </w:t>
      </w:r>
      <w:r w:rsidR="001906C6" w:rsidRPr="001E101F">
        <w:t xml:space="preserve">Drawing from these </w:t>
      </w:r>
      <w:r w:rsidR="00C374BC" w:rsidRPr="001E101F">
        <w:t>ethical arguments</w:t>
      </w:r>
      <w:r w:rsidR="001906C6" w:rsidRPr="001E101F">
        <w:t xml:space="preserve">, I proposed right-sizing </w:t>
      </w:r>
      <w:r w:rsidR="00A41098" w:rsidRPr="001E101F">
        <w:t>legal-ontological</w:t>
      </w:r>
      <w:r w:rsidR="001906C6" w:rsidRPr="001E101F">
        <w:t xml:space="preserve"> boundaries </w:t>
      </w:r>
      <w:r w:rsidR="00A41098" w:rsidRPr="001E101F">
        <w:t>of nature</w:t>
      </w:r>
      <w:r w:rsidR="001906C6" w:rsidRPr="001E101F">
        <w:t xml:space="preserve"> in accordance with Indigenous geographies, reconceptualizing law by </w:t>
      </w:r>
      <w:r w:rsidR="00C374BC" w:rsidRPr="001E101F">
        <w:t>adopting a</w:t>
      </w:r>
      <w:r w:rsidR="001906C6" w:rsidRPr="001E101F">
        <w:t xml:space="preserve"> </w:t>
      </w:r>
      <w:proofErr w:type="spellStart"/>
      <w:r w:rsidR="001906C6" w:rsidRPr="001E101F">
        <w:t>pluriversal</w:t>
      </w:r>
      <w:proofErr w:type="spellEnd"/>
      <w:r w:rsidR="001906C6" w:rsidRPr="001E101F">
        <w:t xml:space="preserve"> perspective, and d</w:t>
      </w:r>
      <w:r w:rsidR="00C374BC" w:rsidRPr="001E101F">
        <w:t>islodging</w:t>
      </w:r>
      <w:r w:rsidR="001906C6" w:rsidRPr="001E101F">
        <w:t xml:space="preserve"> humans from the center of law’s</w:t>
      </w:r>
      <w:r w:rsidR="00A41098" w:rsidRPr="001E101F">
        <w:t xml:space="preserve"> </w:t>
      </w:r>
      <w:r w:rsidR="001906C6" w:rsidRPr="001E101F">
        <w:t xml:space="preserve">universe. </w:t>
      </w:r>
      <w:r w:rsidR="004D3286" w:rsidRPr="001E101F">
        <w:t xml:space="preserve">Implementing these recommendations </w:t>
      </w:r>
      <w:r w:rsidR="002C21DD" w:rsidRPr="001E101F">
        <w:t xml:space="preserve">necessarily </w:t>
      </w:r>
      <w:r w:rsidR="004D3286" w:rsidRPr="001E101F">
        <w:t>requires</w:t>
      </w:r>
      <w:r w:rsidR="002C21DD" w:rsidRPr="001E101F">
        <w:t xml:space="preserve"> first acknowledging and then dismantling hegemonic positions that </w:t>
      </w:r>
      <w:r w:rsidR="001906C6" w:rsidRPr="001E101F">
        <w:t xml:space="preserve">have committed epistemic violence against </w:t>
      </w:r>
      <w:r w:rsidR="002C21DD" w:rsidRPr="001E101F">
        <w:t xml:space="preserve">non-Western cultures. </w:t>
      </w:r>
      <w:r w:rsidR="004D3286" w:rsidRPr="001E101F">
        <w:t>In the Anthropocene, it is no longer morally excusable to assert that Western ways of thinking are inherently superior to Indigenous and non-Western “ways of worlding.</w:t>
      </w:r>
      <w:r w:rsidR="006207B2" w:rsidRPr="001E101F">
        <w:t>”</w:t>
      </w:r>
      <w:r w:rsidR="006207B2" w:rsidRPr="001E101F">
        <w:rPr>
          <w:rStyle w:val="FootnoteReference"/>
        </w:rPr>
        <w:footnoteReference w:id="83"/>
      </w:r>
      <w:r w:rsidR="004D3286" w:rsidRPr="001E101F">
        <w:t xml:space="preserve"> </w:t>
      </w:r>
      <w:r w:rsidR="007A7917" w:rsidRPr="001E101F">
        <w:t>As deeply uncomfortable as it might be for some</w:t>
      </w:r>
      <w:r w:rsidR="004D3286" w:rsidRPr="001E101F">
        <w:t xml:space="preserve">, the proposal suggested here </w:t>
      </w:r>
      <w:r w:rsidR="007A7917" w:rsidRPr="001E101F">
        <w:t>also invites</w:t>
      </w:r>
      <w:r w:rsidR="004D3286" w:rsidRPr="001E101F">
        <w:t xml:space="preserve"> introspection and humility, a moment to consider not just whether but how law has </w:t>
      </w:r>
      <w:r w:rsidR="007A7917" w:rsidRPr="001E101F">
        <w:t xml:space="preserve">fallen short and where we go from here. Collaboration and empowerment are two </w:t>
      </w:r>
      <w:r w:rsidR="00492F82" w:rsidRPr="001E101F">
        <w:t>promising strategies</w:t>
      </w:r>
      <w:r w:rsidR="007A7917" w:rsidRPr="001E101F">
        <w:t>.</w:t>
      </w:r>
      <w:r w:rsidR="006207B2" w:rsidRPr="001E101F">
        <w:rPr>
          <w:rStyle w:val="FootnoteReference"/>
        </w:rPr>
        <w:footnoteReference w:id="84"/>
      </w:r>
      <w:r w:rsidR="007A7917" w:rsidRPr="001E101F">
        <w:t xml:space="preserve"> But above all, we need to cultivate a gracious space that celebrates</w:t>
      </w:r>
      <w:r w:rsidR="0040368F" w:rsidRPr="001E101F">
        <w:t xml:space="preserve"> </w:t>
      </w:r>
      <w:r w:rsidR="007A7917" w:rsidRPr="001E101F">
        <w:t xml:space="preserve">and seeks to advance </w:t>
      </w:r>
      <w:r w:rsidR="0040368F" w:rsidRPr="001E101F">
        <w:t xml:space="preserve">radical departures from </w:t>
      </w:r>
      <w:r w:rsidR="007A7917" w:rsidRPr="001E101F">
        <w:t>modern</w:t>
      </w:r>
      <w:r w:rsidR="0040368F" w:rsidRPr="001E101F">
        <w:t xml:space="preserve"> law</w:t>
      </w:r>
      <w:r w:rsidR="007A7917" w:rsidRPr="001E101F">
        <w:t>.</w:t>
      </w:r>
    </w:p>
    <w:p w14:paraId="3ECA13BA" w14:textId="0B6E6109" w:rsidR="007372F7" w:rsidRPr="001E101F" w:rsidRDefault="007372F7" w:rsidP="001C5831">
      <w:pPr>
        <w:spacing w:line="480" w:lineRule="auto"/>
      </w:pPr>
      <w:r w:rsidRPr="001E101F">
        <w:lastRenderedPageBreak/>
        <w:tab/>
        <w:t>At the same time, we should be careful</w:t>
      </w:r>
      <w:r w:rsidR="00A159A0" w:rsidRPr="001E101F">
        <w:t xml:space="preserve"> to avoid cultural appropriation, essentialism, and exoticism. I am not suggesting here that societies without a discernible Indigenous heritage simply and unproblematically graft the ideas of traditional societies onto their respective corp</w:t>
      </w:r>
      <w:r w:rsidR="00220864" w:rsidRPr="001E101F">
        <w:t>us</w:t>
      </w:r>
      <w:r w:rsidR="00A159A0" w:rsidRPr="001E101F">
        <w:t xml:space="preserve"> of law. Doing so risks tokenizing marginalized groups and engaging, ironically, in an epistemic form of colonialism. Above all, the </w:t>
      </w:r>
      <w:proofErr w:type="gramStart"/>
      <w:r w:rsidR="00A159A0" w:rsidRPr="001E101F">
        <w:t>manner in which</w:t>
      </w:r>
      <w:proofErr w:type="gramEnd"/>
      <w:r w:rsidR="00A159A0" w:rsidRPr="001E101F">
        <w:t xml:space="preserve"> nature should integrate with the law should be ethically defensible and contextually appropriate. This means </w:t>
      </w:r>
      <w:r w:rsidR="00AF368E" w:rsidRPr="001E101F">
        <w:t>celebrating</w:t>
      </w:r>
      <w:r w:rsidR="00A159A0" w:rsidRPr="001E101F">
        <w:t xml:space="preserve"> the spirit of Indigenous and non-Western worldviews while finding ways to make nature’s inclusion in sociotechnical institutions authentically autochthonous. </w:t>
      </w:r>
      <w:r w:rsidR="00AF368E" w:rsidRPr="001E101F">
        <w:t>For instance, in jurisdictions without a strong Indigenous presence, efforts should be undertaken to prioritize the histories and lived experiences of the most vulnerable, those closest to the land and sea. These can be smallholder farmers, fishermen and women, and those living in and among mountains and rivers.</w:t>
      </w:r>
      <w:r w:rsidR="00F843D7" w:rsidRPr="001E101F">
        <w:t xml:space="preserve"> No one is better positioned to respect nature than those who have a direct stake in its survival and thriving.</w:t>
      </w:r>
    </w:p>
    <w:p w14:paraId="1007D082" w14:textId="77777777" w:rsidR="001442F4" w:rsidRPr="001E101F" w:rsidRDefault="001442F4" w:rsidP="001C5831">
      <w:pPr>
        <w:spacing w:line="480" w:lineRule="auto"/>
        <w:rPr>
          <w:b/>
          <w:bCs/>
        </w:rPr>
      </w:pPr>
    </w:p>
    <w:p w14:paraId="11C13AC3" w14:textId="43B84A51" w:rsidR="00BA3BD8" w:rsidRPr="001E101F" w:rsidRDefault="003F043B" w:rsidP="001C5831">
      <w:pPr>
        <w:spacing w:line="480" w:lineRule="auto"/>
        <w:rPr>
          <w:b/>
          <w:bCs/>
        </w:rPr>
      </w:pPr>
      <w:r w:rsidRPr="001E101F">
        <w:rPr>
          <w:b/>
          <w:bCs/>
        </w:rPr>
        <w:t>5</w:t>
      </w:r>
      <w:r w:rsidR="00AD3BA0" w:rsidRPr="001E101F">
        <w:rPr>
          <w:b/>
          <w:bCs/>
        </w:rPr>
        <w:t xml:space="preserve"> </w:t>
      </w:r>
      <w:proofErr w:type="gramStart"/>
      <w:r w:rsidR="00BA3BD8" w:rsidRPr="001E101F">
        <w:rPr>
          <w:b/>
          <w:bCs/>
        </w:rPr>
        <w:t>CONCLUSION</w:t>
      </w:r>
      <w:proofErr w:type="gramEnd"/>
    </w:p>
    <w:p w14:paraId="500B0F7C" w14:textId="5BDA3632" w:rsidR="003618BE" w:rsidRPr="001E101F" w:rsidRDefault="003C0DFA" w:rsidP="001C5831">
      <w:pPr>
        <w:spacing w:line="480" w:lineRule="auto"/>
      </w:pPr>
      <w:r w:rsidRPr="001E101F">
        <w:t xml:space="preserve">The proposal for a Law and Nature movement offers an opportunity to not only revisit environmental law’s shortcomings and examine existing reformatory initiatives intended to improve upon it, but also to think more broadly about what law is and what it should be. </w:t>
      </w:r>
      <w:r w:rsidR="00F459E0" w:rsidRPr="001E101F">
        <w:t xml:space="preserve">This essay sought to invigorate the idea of Law and Nature through an analysis of the </w:t>
      </w:r>
      <w:proofErr w:type="spellStart"/>
      <w:r w:rsidR="00012F58" w:rsidRPr="001E101F">
        <w:t>RoN</w:t>
      </w:r>
      <w:proofErr w:type="spellEnd"/>
      <w:r w:rsidR="00F459E0" w:rsidRPr="001E101F">
        <w:t>. Upon reviewing</w:t>
      </w:r>
      <w:r w:rsidRPr="001E101F">
        <w:t xml:space="preserve"> the state of knowledge </w:t>
      </w:r>
      <w:r w:rsidR="00F459E0" w:rsidRPr="001E101F">
        <w:t>on this subject</w:t>
      </w:r>
      <w:r w:rsidRPr="001E101F">
        <w:t xml:space="preserve">, I </w:t>
      </w:r>
      <w:r w:rsidR="00F459E0" w:rsidRPr="001E101F">
        <w:t>discussed</w:t>
      </w:r>
      <w:r w:rsidRPr="001E101F">
        <w:t xml:space="preserve"> whether nature </w:t>
      </w:r>
      <w:proofErr w:type="gramStart"/>
      <w:r w:rsidRPr="001E101F">
        <w:t>can</w:t>
      </w:r>
      <w:proofErr w:type="gramEnd"/>
      <w:r w:rsidRPr="001E101F">
        <w:t xml:space="preserve"> find a place in the law and how this accommodation </w:t>
      </w:r>
      <w:r w:rsidR="003E0A65" w:rsidRPr="001E101F">
        <w:t>might</w:t>
      </w:r>
      <w:r w:rsidRPr="001E101F">
        <w:t xml:space="preserve"> be achieved. </w:t>
      </w:r>
      <w:r w:rsidR="00F459E0" w:rsidRPr="001E101F">
        <w:t xml:space="preserve">Examining </w:t>
      </w:r>
      <w:r w:rsidR="003E0A65" w:rsidRPr="001E101F">
        <w:t xml:space="preserve">the empirical realities and underexplored potentialities of the </w:t>
      </w:r>
      <w:proofErr w:type="spellStart"/>
      <w:r w:rsidR="00012F58" w:rsidRPr="001E101F">
        <w:t>RoN</w:t>
      </w:r>
      <w:proofErr w:type="spellEnd"/>
      <w:r w:rsidR="003E0A65" w:rsidRPr="001E101F">
        <w:t xml:space="preserve">, I revealed its diversity in form (legal personhood vs. direct rights), mechanisms (anthropocentric representation vs. more-than-human approaches), and orientation (technocratic vs. cultural). Next, I complemented the typological exercise with a </w:t>
      </w:r>
      <w:r w:rsidR="003E0A65" w:rsidRPr="001E101F">
        <w:lastRenderedPageBreak/>
        <w:t xml:space="preserve">normative assessment of how to best proceed with </w:t>
      </w:r>
      <w:r w:rsidR="00E619D1" w:rsidRPr="001E101F">
        <w:t xml:space="preserve">bringing nature into the fold of the law. Here I recommended a governance scope that respects the cartography of Indigenous worldviews, a </w:t>
      </w:r>
      <w:proofErr w:type="spellStart"/>
      <w:r w:rsidR="00E619D1" w:rsidRPr="001E101F">
        <w:t>pluriversal</w:t>
      </w:r>
      <w:proofErr w:type="spellEnd"/>
      <w:r w:rsidR="00E619D1" w:rsidRPr="001E101F">
        <w:t xml:space="preserve"> method amenable to reconceptualizing law and the ways in which non-human entities interface with it, and </w:t>
      </w:r>
      <w:r w:rsidR="00D0779C" w:rsidRPr="001E101F">
        <w:t xml:space="preserve">an ontological function that shuns human chauvinism in favor of radical equality. </w:t>
      </w:r>
      <w:r w:rsidR="002E03A1" w:rsidRPr="001E101F">
        <w:t xml:space="preserve">These suggestions offer a path through which Law and Nature might emerge as a novel program capable of addressing the moral and practical deficiencies of law in general and environmental law in particular. </w:t>
      </w:r>
    </w:p>
    <w:p w14:paraId="74A68290" w14:textId="3A759C39" w:rsidR="00AC7929" w:rsidRPr="003C1A5B" w:rsidRDefault="002E03A1" w:rsidP="001C5831">
      <w:pPr>
        <w:spacing w:line="480" w:lineRule="auto"/>
        <w:ind w:firstLine="720"/>
      </w:pPr>
      <w:r w:rsidRPr="001E101F">
        <w:t>Undoubtedly, tensions may arise in the process of translating the above recommendations into concrete actions. But that is precisely the point</w:t>
      </w:r>
      <w:r w:rsidR="003618BE" w:rsidRPr="001E101F">
        <w:t xml:space="preserve">. Law is in dire need of technical disruption and ethical rejuvenation; the center cannot hold. The temporal imminence of ecological collapse and the slow violence of multispecies injustice counsel against remaining on a </w:t>
      </w:r>
      <w:r w:rsidR="009C196F" w:rsidRPr="001E101F">
        <w:t xml:space="preserve">steady </w:t>
      </w:r>
      <w:r w:rsidR="003618BE" w:rsidRPr="001E101F">
        <w:t xml:space="preserve">diet of modest adjustment and incremental change. </w:t>
      </w:r>
      <w:r w:rsidR="007C7A45" w:rsidRPr="001E101F">
        <w:t xml:space="preserve">Law and Nature would do well to usher in a new wave of legal thinking that learns from the mistakes of the past and present </w:t>
      </w:r>
      <w:proofErr w:type="gramStart"/>
      <w:r w:rsidR="007C7A45" w:rsidRPr="001E101F">
        <w:t>in order to</w:t>
      </w:r>
      <w:proofErr w:type="gramEnd"/>
      <w:r w:rsidR="007C7A45" w:rsidRPr="001E101F">
        <w:t xml:space="preserve"> build a more just</w:t>
      </w:r>
      <w:r w:rsidR="002F60C0" w:rsidRPr="001E101F">
        <w:t xml:space="preserve"> </w:t>
      </w:r>
      <w:r w:rsidR="007C7A45" w:rsidRPr="001E101F">
        <w:t xml:space="preserve">future. </w:t>
      </w:r>
      <w:r w:rsidR="002F60C0" w:rsidRPr="001E101F">
        <w:t xml:space="preserve">Adopting a </w:t>
      </w:r>
      <w:proofErr w:type="spellStart"/>
      <w:r w:rsidR="002F60C0" w:rsidRPr="001E101F">
        <w:t>pluriversal</w:t>
      </w:r>
      <w:proofErr w:type="spellEnd"/>
      <w:r w:rsidR="002F60C0" w:rsidRPr="001E101F">
        <w:t xml:space="preserve">, more-than-human approach would signal a productive move in this direction, one that emphasizes cultural respect and ontological inclusivity. </w:t>
      </w:r>
      <w:r w:rsidR="0041567B" w:rsidRPr="001E101F">
        <w:t xml:space="preserve">In the Anthropocene, both humans and non-humans alike </w:t>
      </w:r>
      <w:r w:rsidR="005307BD" w:rsidRPr="001E101F">
        <w:t>exist in a state of constant</w:t>
      </w:r>
      <w:r w:rsidR="0041567B" w:rsidRPr="001E101F">
        <w:t xml:space="preserve"> vulnerab</w:t>
      </w:r>
      <w:r w:rsidR="005307BD" w:rsidRPr="001E101F">
        <w:t>ility</w:t>
      </w:r>
      <w:r w:rsidR="0041567B" w:rsidRPr="001E101F">
        <w:t>.</w:t>
      </w:r>
      <w:r w:rsidR="00512B8F" w:rsidRPr="001E101F">
        <w:rPr>
          <w:rStyle w:val="FootnoteReference"/>
        </w:rPr>
        <w:footnoteReference w:id="85"/>
      </w:r>
      <w:r w:rsidR="0041567B" w:rsidRPr="001E101F">
        <w:t xml:space="preserve"> </w:t>
      </w:r>
      <w:r w:rsidR="005307BD" w:rsidRPr="001E101F">
        <w:t xml:space="preserve">This common frailty and exposure unites all beings; it is time our institutions reflect this reality. </w:t>
      </w:r>
      <w:r w:rsidR="009210FC" w:rsidRPr="001E101F">
        <w:t xml:space="preserve">In closing, I turn to the inspiring </w:t>
      </w:r>
      <w:r w:rsidR="00571594" w:rsidRPr="001E101F">
        <w:t xml:space="preserve">and optimistic </w:t>
      </w:r>
      <w:r w:rsidR="009210FC" w:rsidRPr="001E101F">
        <w:t xml:space="preserve">words of Indigenous scholars: </w:t>
      </w:r>
      <w:r w:rsidR="005307BD" w:rsidRPr="001E101F">
        <w:t xml:space="preserve">“The journey will be long. We need to fortify one another as we </w:t>
      </w:r>
      <w:proofErr w:type="gramStart"/>
      <w:r w:rsidR="005307BD" w:rsidRPr="001E101F">
        <w:t>travel, and</w:t>
      </w:r>
      <w:proofErr w:type="gramEnd"/>
      <w:r w:rsidR="005307BD" w:rsidRPr="001E101F">
        <w:t xml:space="preserve"> walk mindfully to find the good path forward for all of us…We flourish only when all of our kin flourish.</w:t>
      </w:r>
      <w:r w:rsidR="00512B8F" w:rsidRPr="001E101F">
        <w:t>”</w:t>
      </w:r>
      <w:r w:rsidR="00512B8F" w:rsidRPr="001E101F">
        <w:rPr>
          <w:rStyle w:val="FootnoteReference"/>
        </w:rPr>
        <w:footnoteReference w:id="86"/>
      </w:r>
    </w:p>
    <w:sectPr w:rsidR="00AC7929" w:rsidRPr="003C1A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E2A49" w14:textId="77777777" w:rsidR="00CC6372" w:rsidRDefault="00CC6372" w:rsidP="00605757">
      <w:r>
        <w:separator/>
      </w:r>
    </w:p>
  </w:endnote>
  <w:endnote w:type="continuationSeparator" w:id="0">
    <w:p w14:paraId="07721C83" w14:textId="77777777" w:rsidR="00CC6372" w:rsidRDefault="00CC6372" w:rsidP="0060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6029471"/>
      <w:docPartObj>
        <w:docPartGallery w:val="Page Numbers (Bottom of Page)"/>
        <w:docPartUnique/>
      </w:docPartObj>
    </w:sdtPr>
    <w:sdtContent>
      <w:p w14:paraId="47A05D01" w14:textId="60880B43" w:rsidR="007722A6" w:rsidRDefault="007722A6" w:rsidP="006F4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3C8F0" w14:textId="77777777" w:rsidR="007722A6" w:rsidRDefault="007722A6" w:rsidP="00772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8172603"/>
      <w:docPartObj>
        <w:docPartGallery w:val="Page Numbers (Bottom of Page)"/>
        <w:docPartUnique/>
      </w:docPartObj>
    </w:sdtPr>
    <w:sdtContent>
      <w:p w14:paraId="3FAD7A1C" w14:textId="7AD501AA" w:rsidR="007722A6" w:rsidRDefault="007722A6" w:rsidP="006F4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6232">
          <w:rPr>
            <w:rStyle w:val="PageNumber"/>
            <w:noProof/>
          </w:rPr>
          <w:t>1</w:t>
        </w:r>
        <w:r>
          <w:rPr>
            <w:rStyle w:val="PageNumber"/>
          </w:rPr>
          <w:fldChar w:fldCharType="end"/>
        </w:r>
      </w:p>
    </w:sdtContent>
  </w:sdt>
  <w:p w14:paraId="3473205E" w14:textId="77777777" w:rsidR="007722A6" w:rsidRDefault="007722A6" w:rsidP="007722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A156" w14:textId="77777777" w:rsidR="00C84880" w:rsidRDefault="00C8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5FD3" w14:textId="77777777" w:rsidR="00CC6372" w:rsidRDefault="00CC6372" w:rsidP="00605757">
      <w:r>
        <w:separator/>
      </w:r>
    </w:p>
  </w:footnote>
  <w:footnote w:type="continuationSeparator" w:id="0">
    <w:p w14:paraId="70C83A81" w14:textId="77777777" w:rsidR="00CC6372" w:rsidRDefault="00CC6372" w:rsidP="00605757">
      <w:r>
        <w:continuationSeparator/>
      </w:r>
    </w:p>
  </w:footnote>
  <w:footnote w:id="1">
    <w:p w14:paraId="3CCEF1BE" w14:textId="080BC48C" w:rsidR="00605757" w:rsidRDefault="00605757">
      <w:pPr>
        <w:pStyle w:val="FootnoteText"/>
      </w:pPr>
      <w:r w:rsidRPr="004B4765">
        <w:rPr>
          <w:rStyle w:val="FootnoteReference"/>
        </w:rPr>
        <w:footnoteRef/>
      </w:r>
      <w:r>
        <w:t xml:space="preserve"> </w:t>
      </w:r>
      <w:r>
        <w:fldChar w:fldCharType="begin"/>
      </w:r>
      <w:r w:rsidR="00ED4200">
        <w:instrText xml:space="preserve"> ADDIN ZOTERO_ITEM CSL_CITATION {"citationID":"JDtaIi22","properties":{"formattedCitation":"Andreas Philippopoulos-Mihalopoulos, \\uc0\\u8216{}Towards a Critical Environmental Law\\uc0\\u8217{} in Andreas Philippopoulos-Mihalopoulos (ed), {\\i{}Law and Ecology: New Environmental Foundations} (Routledge 2011).","plainCitation":"Andreas Philippopoulos-Mihalopoulos, ‘Towards a Critical Environmental Law’ in Andreas Philippopoulos-Mihalopoulos (ed), Law and Ecology: New Environmental Foundations (Routledge 2011).","noteIndex":1},"citationItems":[{"id":1504,"uris":["http://zotero.org/users/1464657/items/59TZ69VQ"],"itemData":{"id":1504,"type":"chapter","container-title":"Law and Ecology: New Environmental Foundations","event-place":"Abingdon, Oxon","page":"18-38","publisher":"Routledge","publisher-place":"Abingdon, Oxon","title":"Towards a Critical Environmental Law","author":[{"family":"Philippopoulos-Mihalopoulos","given":"Andreas"}],"editor":[{"family":"Philippopoulos-Mihalopoulos","given":"Andreas"}],"issued":{"date-parts":[["2011"]]}}}],"schema":"https://github.com/citation-style-language/schema/raw/master/csl-citation.json"} </w:instrText>
      </w:r>
      <w:r>
        <w:fldChar w:fldCharType="separate"/>
      </w:r>
      <w:r w:rsidRPr="00605757">
        <w:rPr>
          <w:kern w:val="0"/>
        </w:rPr>
        <w:t xml:space="preserve">Andreas Philippopoulos-Mihalopoulos, ‘Towards a Critical Environmental Law’ in Andreas Philippopoulos-Mihalopoulos (ed), </w:t>
      </w:r>
      <w:r w:rsidRPr="00605757">
        <w:rPr>
          <w:i/>
          <w:iCs/>
          <w:kern w:val="0"/>
        </w:rPr>
        <w:t>Law and Ecology: New Environmental Foundations</w:t>
      </w:r>
      <w:r w:rsidRPr="00605757">
        <w:rPr>
          <w:kern w:val="0"/>
        </w:rPr>
        <w:t xml:space="preserve"> (Routledge 2011).</w:t>
      </w:r>
      <w:r>
        <w:fldChar w:fldCharType="end"/>
      </w:r>
    </w:p>
  </w:footnote>
  <w:footnote w:id="2">
    <w:p w14:paraId="6BC3E159" w14:textId="25642753" w:rsidR="00605757" w:rsidRDefault="00605757">
      <w:pPr>
        <w:pStyle w:val="FootnoteText"/>
      </w:pPr>
      <w:r w:rsidRPr="004B4765">
        <w:rPr>
          <w:rStyle w:val="FootnoteReference"/>
        </w:rPr>
        <w:footnoteRef/>
      </w:r>
      <w:r>
        <w:t xml:space="preserve"> </w:t>
      </w:r>
      <w:r>
        <w:fldChar w:fldCharType="begin"/>
      </w:r>
      <w:r w:rsidR="00ED4200">
        <w:instrText xml:space="preserve"> ADDIN ZOTERO_ITEM CSL_CITATION {"citationID":"8Rokp0ja","properties":{"formattedCitation":"Carla Sbert, {\\i{}The Lens of Ecological Law} (Edward Elgar 2020).","plainCitation":"Carla Sbert, The Lens of Ecological Law (Edward Elgar 2020).","noteIndex":2},"citationItems":[{"id":1864,"uris":["http://zotero.org/users/1464657/items/WKKRMSNL"],"itemData":{"id":1864,"type":"book","event-place":"Cheltenham, UK","publisher":"Edward Elgar","publisher-place":"Cheltenham, UK","title":"The Lens of Ecological Law","author":[{"family":"Sbert","given":"Carla"}],"issued":{"date-parts":[["2020"]]}}}],"schema":"https://github.com/citation-style-language/schema/raw/master/csl-citation.json"} </w:instrText>
      </w:r>
      <w:r>
        <w:fldChar w:fldCharType="separate"/>
      </w:r>
      <w:r w:rsidRPr="00605757">
        <w:rPr>
          <w:kern w:val="0"/>
        </w:rPr>
        <w:t xml:space="preserve">Carla Sbert, </w:t>
      </w:r>
      <w:r w:rsidRPr="00605757">
        <w:rPr>
          <w:i/>
          <w:iCs/>
          <w:kern w:val="0"/>
        </w:rPr>
        <w:t>The Lens of Ecological Law</w:t>
      </w:r>
      <w:r w:rsidRPr="00605757">
        <w:rPr>
          <w:kern w:val="0"/>
        </w:rPr>
        <w:t xml:space="preserve"> (Edward Elgar 2020).</w:t>
      </w:r>
      <w:r>
        <w:fldChar w:fldCharType="end"/>
      </w:r>
    </w:p>
  </w:footnote>
  <w:footnote w:id="3">
    <w:p w14:paraId="40B6C11B" w14:textId="1EFB8F34" w:rsidR="00605757" w:rsidRDefault="00605757">
      <w:pPr>
        <w:pStyle w:val="FootnoteText"/>
      </w:pPr>
      <w:r w:rsidRPr="004B4765">
        <w:rPr>
          <w:rStyle w:val="FootnoteReference"/>
        </w:rPr>
        <w:footnoteRef/>
      </w:r>
      <w:r>
        <w:t xml:space="preserve"> </w:t>
      </w:r>
      <w:r>
        <w:fldChar w:fldCharType="begin"/>
      </w:r>
      <w:r w:rsidR="00ED4200">
        <w:instrText xml:space="preserve"> ADDIN ZOTERO_ITEM CSL_CITATION {"citationID":"mPyocQVX","properties":{"formattedCitation":"Judith E Koons, \\uc0\\u8216{}Earth Jurisprudence: The Moral Value of Nature\\uc0\\u8217{} (2008) 25 Pace Environmental Law Review 263.","plainCitation":"Judith E Koons, ‘Earth Jurisprudence: The Moral Value of Nature’ (2008) 25 Pace Environmental Law Review 263.","noteIndex":3},"citationItems":[{"id":337,"uris":["http://zotero.org/users/1464657/items/B9Q59X37"],"itemData":{"id":337,"type":"article-journal","container-title":"Pace Environmental Law Review","issue":"2","page":"263-340","title":"Earth Jurisprudence: The Moral Value of Nature","volume":"25","author":[{"family":"Koons","given":"Judith E."}],"issued":{"date-parts":[["2008"]]}}}],"schema":"https://github.com/citation-style-language/schema/raw/master/csl-citation.json"} </w:instrText>
      </w:r>
      <w:r>
        <w:fldChar w:fldCharType="separate"/>
      </w:r>
      <w:r w:rsidRPr="00605757">
        <w:rPr>
          <w:kern w:val="0"/>
        </w:rPr>
        <w:t>Judith E Koons, ‘Earth Jurisprudence: The Moral Value of Nature’ (2008) 25 Pace Environmental Law Review 263.</w:t>
      </w:r>
      <w:r>
        <w:fldChar w:fldCharType="end"/>
      </w:r>
    </w:p>
  </w:footnote>
  <w:footnote w:id="4">
    <w:p w14:paraId="453326FA" w14:textId="2B3A6D3E" w:rsidR="00605757" w:rsidRDefault="00605757">
      <w:pPr>
        <w:pStyle w:val="FootnoteText"/>
      </w:pPr>
      <w:r w:rsidRPr="004B4765">
        <w:rPr>
          <w:rStyle w:val="FootnoteReference"/>
        </w:rPr>
        <w:footnoteRef/>
      </w:r>
      <w:r>
        <w:t xml:space="preserve"> </w:t>
      </w:r>
      <w:r>
        <w:fldChar w:fldCharType="begin"/>
      </w:r>
      <w:r w:rsidR="00ED4200">
        <w:instrText xml:space="preserve"> ADDIN ZOTERO_ITEM CSL_CITATION {"citationID":"pucpIy6l","properties":{"formattedCitation":"Cormac Cullinan, {\\i{}Wild Law: A Manifesto for Earth Justice} (Green Books 2003).","plainCitation":"Cormac Cullinan, Wild Law: A Manifesto for Earth Justice (Green Books 2003).","noteIndex":4},"citationItems":[{"id":1518,"uris":["http://zotero.org/users/1464657/items/ZDMY4PD4"],"itemData":{"id":1518,"type":"book","event-place":"Totnes, UK","publisher":"Green Books","publisher-place":"Totnes, UK","title":"Wild Law: A Manifesto for Earth Justice","author":[{"family":"Cullinan","given":"Cormac"}],"issued":{"date-parts":[["2003"]]}}}],"schema":"https://github.com/citation-style-language/schema/raw/master/csl-citation.json"} </w:instrText>
      </w:r>
      <w:r>
        <w:fldChar w:fldCharType="separate"/>
      </w:r>
      <w:r w:rsidRPr="00605757">
        <w:rPr>
          <w:kern w:val="0"/>
        </w:rPr>
        <w:t xml:space="preserve">Cormac Cullinan, </w:t>
      </w:r>
      <w:r w:rsidRPr="00605757">
        <w:rPr>
          <w:i/>
          <w:iCs/>
          <w:kern w:val="0"/>
        </w:rPr>
        <w:t>Wild Law: A Manifesto for Earth Justice</w:t>
      </w:r>
      <w:r w:rsidRPr="00605757">
        <w:rPr>
          <w:kern w:val="0"/>
        </w:rPr>
        <w:t xml:space="preserve"> (Green Books 2003).</w:t>
      </w:r>
      <w:r>
        <w:fldChar w:fldCharType="end"/>
      </w:r>
    </w:p>
  </w:footnote>
  <w:footnote w:id="5">
    <w:p w14:paraId="5ED1D09F" w14:textId="7559749F" w:rsidR="00605757" w:rsidRDefault="00605757">
      <w:pPr>
        <w:pStyle w:val="FootnoteText"/>
      </w:pPr>
      <w:r w:rsidRPr="004B4765">
        <w:rPr>
          <w:rStyle w:val="FootnoteReference"/>
        </w:rPr>
        <w:footnoteRef/>
      </w:r>
      <w:r>
        <w:t xml:space="preserve"> </w:t>
      </w:r>
      <w:r>
        <w:fldChar w:fldCharType="begin"/>
      </w:r>
      <w:r w:rsidR="00ED4200">
        <w:instrText xml:space="preserve"> ADDIN ZOTERO_ITEM CSL_CITATION {"citationID":"fs0TNwiH","properties":{"formattedCitation":"Louis J Kotz\\uc0\\u233{} and Rakhyun E Kim, \\uc0\\u8216{}Earth System Law: The Juridical Dimensions of Earth System Governance\\uc0\\u8217{} (2019) 1 Earth System Governance 100110.","plainCitation":"Louis J Kotzé and Rakhyun E Kim, ‘Earth System Law: The Juridical Dimensions of Earth System Governance’ (2019) 1 Earth System Governance 100110.","noteIndex":5},"citationItems":[{"id":1907,"uris":["http://zotero.org/users/1464657/items/DBBWCHY9"],"itemData":{"id":1907,"type":"article-journal","abstract":"While the focus of earth system governance is on the human-social aspects of Earth system changes, law has played a peripheral part in the earth system governance scientific agenda. Earth system governance perspectives have also not significantly infiltrated the juridical domain. In this paper we seek to initiate a debate on the juridical dimensions of earth system governance. We make out a case in support of developing a new overarching legal phenomenon that, more than environmental law (among others) comprehensively accommodates and encapsulates the juridical aspects of earth system governance, including a new accompanying research agenda. We call this new legal phenomenon ‘earth system law’. Earth system law, as we aim to show, could introduce a new era in legal scholarship, while seeking to comprehensively respond to the regulatory challenges presented by a changing Earth system in the Anthropocene. For illustrative purposes, we provide a conceptual framework of earth system law by focusing on international environmental law. We show how core considerations of earth system law might set in motion some of the conceptual and regulatory changes required to eventually progress from international environmental law to a mature form of earth system law.","container-title":"Earth System Governance","page":"100110","title":"Earth System Law: The Juridical Dimensions of Earth System Governance","volume":"1","author":[{"family":"Kotzé","given":"Louis J."},{"family":"Kim","given":"Rakhyun E."}],"issued":{"date-parts":[["2019"]]}}}],"schema":"https://github.com/citation-style-language/schema/raw/master/csl-citation.json"} </w:instrText>
      </w:r>
      <w:r>
        <w:fldChar w:fldCharType="separate"/>
      </w:r>
      <w:r w:rsidRPr="00605757">
        <w:rPr>
          <w:kern w:val="0"/>
        </w:rPr>
        <w:t>Louis J Kotzé and Rakhyun E Kim, ‘Earth System Law: The Juridical Dimensions of Earth System Governance’ (2019) 1 Earth System Governance 100110.</w:t>
      </w:r>
      <w:r>
        <w:fldChar w:fldCharType="end"/>
      </w:r>
    </w:p>
  </w:footnote>
  <w:footnote w:id="6">
    <w:p w14:paraId="26AEDA63" w14:textId="631BE5A1" w:rsidR="00172768" w:rsidRDefault="00172768">
      <w:pPr>
        <w:pStyle w:val="FootnoteText"/>
      </w:pPr>
      <w:r w:rsidRPr="004B4765">
        <w:rPr>
          <w:rStyle w:val="FootnoteReference"/>
        </w:rPr>
        <w:footnoteRef/>
      </w:r>
      <w:r>
        <w:t xml:space="preserve"> </w:t>
      </w:r>
      <w:r>
        <w:fldChar w:fldCharType="begin"/>
      </w:r>
      <w:r w:rsidR="00ED4200">
        <w:instrText xml:space="preserve"> ADDIN ZOTERO_ITEM CSL_CITATION {"citationID":"YX4CqMIm","properties":{"formattedCitation":"Julien B\\uc0\\u233{}taille, \\uc0\\u8216{}Rights of Nature: Why It Might Not Save the Entire World\\uc0\\u8217{} (2019) 16 Journal for European Environmental &amp; Planning Law 35.","plainCitation":"Julien Bétaille, ‘Rights of Nature: Why It Might Not Save the Entire World’ (2019) 16 Journal for European Environmental &amp; Planning Law 35.","noteIndex":6},"citationItems":[{"id":1838,"uris":["http://zotero.org/users/1464657/items/QP6QK9RP"],"itemData":{"id":1838,"type":"article-journal","abstract":"The advent of Rights of Nature (RoN) marks a new paradigm shift in the philosophical approach to nature. As such, the concept has generated enthusiasm amongst environmentalists and legal scholars. This is not surprising since granting legal personhood to nature seems to present itself as a relative easy fix for the multitude of deficiencies of “modern” environmental law. However, when critically assessed, many of the underlying assumptions justifying a shift towards rights-based approaches to nature are open to challenge. In this paper, which takes a more critical stance on the topic of RoN, it is submitted that also the much-criticized modern environmental law is moving towards a recognition of the intrinsic value of nature, puts breaks on property rights, offers remediation actions for pure ecological damage and also increasingly grants environmental ngos wide access to courts. Moreover, on a second level, it is argued that RoN are not a legal revolution and that many of the problems Rights of Nature tries to cure – such as a lack of enforcement – will simply re-emerge if not adequately assessed within this novel paradigm.","container-title":"Journal for European Environmental &amp; Planning Law","DOI":"10.1163/18760104-01601004","issue":"1","language":"en","note":"publisher: Brill","page":"35-64","source":"brill.com","title":"Rights of Nature: Why it Might Not Save the Entire World","title-short":"Rights of Nature","volume":"16","author":[{"family":"Bétaille","given":"Julien"}],"issued":{"date-parts":[["2019"]]}}}],"schema":"https://github.com/citation-style-language/schema/raw/master/csl-citation.json"} </w:instrText>
      </w:r>
      <w:r>
        <w:fldChar w:fldCharType="separate"/>
      </w:r>
      <w:r w:rsidRPr="00172768">
        <w:rPr>
          <w:kern w:val="0"/>
        </w:rPr>
        <w:t>Julien Bétaille, ‘Rights of Nature: Why It Might Not Save the Entire World’ (2019) 16 Journal for European Environmental &amp; Planning Law 35.</w:t>
      </w:r>
      <w:r>
        <w:fldChar w:fldCharType="end"/>
      </w:r>
    </w:p>
  </w:footnote>
  <w:footnote w:id="7">
    <w:p w14:paraId="1AFBA49C" w14:textId="33AB3BE0" w:rsidR="00ED4200" w:rsidRDefault="00ED4200">
      <w:pPr>
        <w:pStyle w:val="FootnoteText"/>
      </w:pPr>
      <w:r>
        <w:rPr>
          <w:rStyle w:val="FootnoteReference"/>
        </w:rPr>
        <w:footnoteRef/>
      </w:r>
      <w:r>
        <w:t xml:space="preserve"> </w:t>
      </w:r>
      <w:r>
        <w:fldChar w:fldCharType="begin"/>
      </w:r>
      <w:r>
        <w:instrText xml:space="preserve"> ADDIN ZOTERO_ITEM CSL_CITATION {"citationID":"Id64CAVg","properties":{"formattedCitation":"Birgit Peters and Nils Schaks, \\uc0\\u8216{}Law and Nature: A Research Perspective?\\uc0\\u8217{}","plainCitation":"Birgit Peters and Nils Schaks, ‘Law and Nature: A Research Perspective?’","noteIndex":7},"citationItems":[{"id":2993,"uris":["http://zotero.org/users/1464657/items/HAS6WZXR"],"itemData":{"id":2993,"type":"article-journal","title":"Law and Nature: A Research Perspective?","author":[{"family":"Peters","given":"Birgit"},{"family":"Schaks","given":"Nils"}]}}],"schema":"https://github.com/citation-style-language/schema/raw/master/csl-citation.json"} </w:instrText>
      </w:r>
      <w:r>
        <w:fldChar w:fldCharType="separate"/>
      </w:r>
      <w:r w:rsidRPr="00ED4200">
        <w:rPr>
          <w:kern w:val="0"/>
        </w:rPr>
        <w:t>Birgit Peters and Nils Schaks, ‘Law and Nature: A Research Perspective?’</w:t>
      </w:r>
      <w:r>
        <w:fldChar w:fldCharType="end"/>
      </w:r>
    </w:p>
  </w:footnote>
  <w:footnote w:id="8">
    <w:p w14:paraId="7C45EDA7" w14:textId="68DDDEE8" w:rsidR="007323F3" w:rsidRDefault="007323F3">
      <w:pPr>
        <w:pStyle w:val="FootnoteText"/>
      </w:pPr>
      <w:r w:rsidRPr="004B4765">
        <w:rPr>
          <w:rStyle w:val="FootnoteReference"/>
        </w:rPr>
        <w:footnoteRef/>
      </w:r>
      <w:r>
        <w:t xml:space="preserve"> </w:t>
      </w:r>
      <w:r>
        <w:fldChar w:fldCharType="begin"/>
      </w:r>
      <w:r w:rsidR="00ED4200">
        <w:instrText xml:space="preserve"> ADDIN ZOTERO_ITEM CSL_CITATION {"citationID":"uTNiO3fa","properties":{"formattedCitation":"Luis Lloredo Alix, \\uc0\\u8216{}A Post-Humanist and Anti-Capitalist Understanding of the Rights of Nature (with a Coda About the Commons)\\uc0\\u8217{} (2023) 13 O\\uc0\\u241{}ati Socio-Legal Series 1003.","plainCitation":"Luis Lloredo Alix, ‘A Post-Humanist and Anti-Capitalist Understanding of the Rights of Nature (with a Coda About the Commons)’ (2023) 13 Oñati Socio-Legal Series 1003.","noteIndex":8},"citationItems":[{"id":1851,"uris":["http://zotero.org/users/1464657/items/YU5Y9PG7"],"itemData":{"id":1851,"type":"article-journal","container-title":"Oñati Socio-Legal Series","DOI":"10.35295/osls.iisl/0000-0000-0000-1386","issue":"3","journalAbbreviation":"Oñati Socio-Legal Series","note":"section: Thematic Articles","page":"1003-1035","title":"A Post-humanist and Anti-capitalist Understanding of the Rights of Nature (with a Coda About the Commons)","volume":"13","author":[{"family":"Lloredo Alix","given":"Luis"}],"issued":{"date-parts":[["2023"]]}}}],"schema":"https://github.com/citation-style-language/schema/raw/master/csl-citation.json"} </w:instrText>
      </w:r>
      <w:r>
        <w:fldChar w:fldCharType="separate"/>
      </w:r>
      <w:r w:rsidRPr="007323F3">
        <w:rPr>
          <w:kern w:val="0"/>
        </w:rPr>
        <w:t>Luis Lloredo Alix, ‘A Post-Humanist and Anti-Capitalist Understanding of the Rights of Nature (with a Coda About the Commons)’ (2023) 13 Oñati Socio-Legal Series 1003.</w:t>
      </w:r>
      <w:r>
        <w:fldChar w:fldCharType="end"/>
      </w:r>
    </w:p>
  </w:footnote>
  <w:footnote w:id="9">
    <w:p w14:paraId="49781A8C" w14:textId="5E6BDE87" w:rsidR="00F81935" w:rsidRDefault="00F81935">
      <w:pPr>
        <w:pStyle w:val="FootnoteText"/>
      </w:pPr>
      <w:r w:rsidRPr="004B4765">
        <w:rPr>
          <w:rStyle w:val="FootnoteReference"/>
        </w:rPr>
        <w:footnoteRef/>
      </w:r>
      <w:r>
        <w:t xml:space="preserve"> </w:t>
      </w:r>
      <w:r>
        <w:fldChar w:fldCharType="begin"/>
      </w:r>
      <w:r w:rsidR="00ED4200">
        <w:instrText xml:space="preserve"> ADDIN ZOTERO_ITEM CSL_CITATION {"citationID":"vej8LDPD","properties":{"formattedCitation":"Emille Boulot and Joshua Sterlin, \\uc0\\u8216{}Steps Towards a Legal Ontological Turn: Proposals for Law\\uc0\\u8217{}s Place beyond the Human\\uc0\\u8217{} (2021) 11 Transnational Environmental Law 13.","plainCitation":"Emille Boulot and Joshua Sterlin, ‘Steps Towards a Legal Ontological Turn: Proposals for Law’s Place beyond the Human’ (2021) 11 Transnational Environmental Law 13.","noteIndex":9},"citationItems":[{"id":1943,"uris":["http://zotero.org/users/1464657/items/79WIN8CE"],"itemData":{"id":1943,"type":"article-journal","abstract":"Environmental law remains grounded in a ‘one-world world’ paradigm. This ontological structure asserts that, regardless of variation in world-construing, all beings occupy one ‘real’ world of discrete entities. The resulting legal system is viewed as an independent set of norms and procedures regulating the ‘human’ use of the ‘environment’ by specifying allowable harm rather than adjudicating on mutually enhancing relations. This legal form fails to fulfil its purpose of prevention and remediation, and constitutes a significant barrier to overcoming world(s)-destroying conditions. As such, we take up the injunction for a ‘legal ontological turn’ so as to lay bare these assumptions, and to be able to move beyond their constraints into a renewed exploration at the intersection of vastly differing legalities. In dialogue with systems-grounded ecological jurisprudence(s), Indigenous legal thinking, and anthropological insight, we seek to ground future discussions towards building a truly earth-sustaining form of environmental law for all beings.","container-title":"Transnational Environmental Law","DOI":"10.1017/S2047102521000145","ISSN":"2047-1025, 2047-1033","issue":"1","language":"en","note":"publisher: Cambridge University Press","page":"13-38","source":"Cambridge University Press","title":"Steps Towards a Legal Ontological Turn: Proposals for Law's Place beyond the Human","title-short":"Steps Towards a Legal Ontological Turn","volume":"11","author":[{"family":"Boulot","given":"Emille"},{"family":"Sterlin","given":"Joshua"}],"issued":{"date-parts":[["2021"]]}}}],"schema":"https://github.com/citation-style-language/schema/raw/master/csl-citation.json"} </w:instrText>
      </w:r>
      <w:r>
        <w:fldChar w:fldCharType="separate"/>
      </w:r>
      <w:r w:rsidRPr="00F81935">
        <w:rPr>
          <w:kern w:val="0"/>
        </w:rPr>
        <w:t>Emille Boulot and Joshua Sterlin, ‘Steps Towards a Legal Ontological Turn: Proposals for Law’s Place beyond the Human’ (2021) 11 Transnational Environmental Law 13.</w:t>
      </w:r>
      <w:r>
        <w:fldChar w:fldCharType="end"/>
      </w:r>
    </w:p>
  </w:footnote>
  <w:footnote w:id="10">
    <w:p w14:paraId="74FEDC7B" w14:textId="61EFC7DF" w:rsidR="001339E5" w:rsidRDefault="001339E5">
      <w:pPr>
        <w:pStyle w:val="FootnoteText"/>
      </w:pPr>
      <w:r w:rsidRPr="004B4765">
        <w:rPr>
          <w:rStyle w:val="FootnoteReference"/>
        </w:rPr>
        <w:footnoteRef/>
      </w:r>
      <w:r>
        <w:t xml:space="preserve"> </w:t>
      </w:r>
      <w:r>
        <w:fldChar w:fldCharType="begin"/>
      </w:r>
      <w:r w:rsidR="00ED4200">
        <w:instrText xml:space="preserve"> ADDIN ZOTERO_ITEM CSL_CITATION {"citationID":"jTD7dzX2","properties":{"formattedCitation":"Jade-Ann Reeves and Timothy D Peters, \\uc0\\u8216{}Responding to Anthropocentrism with Anthropocentrism: The Biopolitics of Environmental Personhood\\uc0\\u8217{} (2021) 30 Griffith Law Review 474.","plainCitation":"Jade-Ann Reeves and Timothy D Peters, ‘Responding to Anthropocentrism with Anthropocentrism: The Biopolitics of Environmental Personhood’ (2021) 30 Griffith Law Review 474.","noteIndex":10},"citationItems":[{"id":1852,"uris":["http://zotero.org/users/1464657/items/9LP2L3PA"],"itemData":{"id":1852,"type":"article-journal","abstract":"This article critically analyses the novelty of the legal personhood of nature and, in particular, whether it signals cracks in the anthropocentrism of Western law. Drawing upon the work of Michel Foucault and Roberto Esposito, it contributes to the theorisation of environmental personhood by focusing on the biopolitical nature of personhood itself. It does so by engaging in a critical examination of the attribution of legal personality to the Whanganui River in Aotearoa New Zealand as the most detailed and sophisticated legislative example to date of legally personifying a natural thing. Working through three key conceptual terms in Foucault’s and Esposito’s work (population, personhood and immunisation), we demonstrate the way in which a biopolitical analysis raises questions about whether ascribing legal personhood to nature addresses anthropocentrism and its effects. We draw attention to the risk of ascribing legal personhood to nature, which is that, instead of signalling an ontological shift in the Western anthropocentric understandings of environment, it operates within and reinforces the dominant legal worldview – unless, that is, the granting of personhood to nature calls into question the dominant paradigm of personhood itself. The article concludes by suggesting alternative ways of developing human understandings of, and relationship with, nature.","container-title":"Griffith Law Review","DOI":"10.1080/10383441.2022.2037882","ISSN":"1038-3441","issue":"3","note":"publisher: Routledge\n_eprint: https://doi.org/10.1080/10383441.2022.2037882","page":"474-504","source":"Taylor and Francis+NEJM","title":"Responding to Anthropocentrism with Anthropocentrism: The Biopolitics of Environmental Personhood","title-short":"Responding to anthropocentrism with anthropocentrism","volume":"30","author":[{"family":"Reeves","given":"Jade-Ann"},{"family":"Peters","given":"Timothy D."}],"issued":{"date-parts":[["2021"]]}}}],"schema":"https://github.com/citation-style-language/schema/raw/master/csl-citation.json"} </w:instrText>
      </w:r>
      <w:r>
        <w:fldChar w:fldCharType="separate"/>
      </w:r>
      <w:r w:rsidRPr="001339E5">
        <w:rPr>
          <w:kern w:val="0"/>
        </w:rPr>
        <w:t>Jade-Ann Reeves and Timothy D Peters, ‘Responding to Anthropocentrism with Anthropocentrism: The Biopolitics of Environmental Personhood’ (2021) 30 Griffith Law Review 474.</w:t>
      </w:r>
      <w:r>
        <w:fldChar w:fldCharType="end"/>
      </w:r>
    </w:p>
  </w:footnote>
  <w:footnote w:id="11">
    <w:p w14:paraId="6803009C" w14:textId="55C6A78E" w:rsidR="003129D8" w:rsidRDefault="003129D8">
      <w:pPr>
        <w:pStyle w:val="FootnoteText"/>
      </w:pPr>
      <w:r w:rsidRPr="004B4765">
        <w:rPr>
          <w:rStyle w:val="FootnoteReference"/>
        </w:rPr>
        <w:footnoteRef/>
      </w:r>
      <w:r>
        <w:t xml:space="preserve"> </w:t>
      </w:r>
      <w:r>
        <w:fldChar w:fldCharType="begin"/>
      </w:r>
      <w:r w:rsidR="00ED4200">
        <w:instrText xml:space="preserve"> ADDIN ZOTERO_ITEM CSL_CITATION {"citationID":"H720jPF4","properties":{"formattedCitation":"Neil W Williams, \\uc0\\u8216{}The \\uc0\\u8220{}No Interest\\uc0\\u8221{} Argument and the Rights of Nature\\uc0\\u8217{} [2024] Philosophers\\uc0\\u8217{} Imprint.","plainCitation":"Neil W Williams, ‘The “No Interest” Argument and the Rights of Nature’ [2024] Philosophers’ Imprint.","noteIndex":11},"citationItems":[{"id":1849,"uris":["http://zotero.org/users/1464657/items/3IXN5LHW"],"itemData":{"id":1849,"type":"article-journal","abstract":"© 2024, [Michigan Publishing]. This is an author produced version of a paper published in Philosophers' Imprint uploaded in accordance with the publisher’s self- archiving policy. The final published version (version of record) is available online at the link. Some minor differences between this version and the final published version may remain. We suggest you refer to the final published version should you wish to cite from it. Awarding rights to rivers, forests, and other environmental entities (EEs) is a new and increasingly popular approach to environmental protection. The distinctive feature of such rights of nature (RoN) legislation is that direct duties are owed to the EEs.This paper presents a novel rebuttal of the strongest argument against RoN: the no interest argument. The crux of this argument is that because EEs are not sentient, they cannot possess the kinds of interests necessary to ground direct duties. Therefore, they cannot be legitimate rights-bearers. After considering and rejecting standard responses to this argument, the paper challenges its fundamental assumption: that rights-correlative duties must be grounded in the interests of the rights-bearer. The paper then presents the RoN critic with a dilemma. The critic must either accept that EEs are legitimate rights-bearers or delegitimise many well-established rights-bearers along with EEs. Either way,the no interest argument loses its force.","container-title":"Philosophers' Imprint","DOI":"10.3998/phimp.4583","ISSN":"1533-628X","source":"University of Roehampton Research Explorer","title":"The \"No Interest\" Argument and the Rights of Nature","author":[{"family":"Williams","given":"Neil W."}],"issued":{"date-parts":[["2024"]]}}}],"schema":"https://github.com/citation-style-language/schema/raw/master/csl-citation.json"} </w:instrText>
      </w:r>
      <w:r>
        <w:fldChar w:fldCharType="separate"/>
      </w:r>
      <w:r w:rsidRPr="003129D8">
        <w:rPr>
          <w:kern w:val="0"/>
        </w:rPr>
        <w:t>Neil W Williams, ‘The “No Interest” Argument and the Rights of Nature’ [2024] Philosophers’ Imprint.</w:t>
      </w:r>
      <w:r>
        <w:fldChar w:fldCharType="end"/>
      </w:r>
    </w:p>
  </w:footnote>
  <w:footnote w:id="12">
    <w:p w14:paraId="1AEC1754" w14:textId="4E9AFACE" w:rsidR="003129D8" w:rsidRDefault="003129D8">
      <w:pPr>
        <w:pStyle w:val="FootnoteText"/>
      </w:pPr>
      <w:r w:rsidRPr="004B4765">
        <w:rPr>
          <w:rStyle w:val="FootnoteReference"/>
        </w:rPr>
        <w:footnoteRef/>
      </w:r>
      <w:r>
        <w:t xml:space="preserve"> </w:t>
      </w:r>
      <w:r>
        <w:fldChar w:fldCharType="begin"/>
      </w:r>
      <w:r w:rsidR="00ED4200">
        <w:instrText xml:space="preserve"> ADDIN ZOTERO_ITEM CSL_CITATION {"citationID":"KY3KUAyn","properties":{"formattedCitation":"Visa AJ Kurki, \\uc0\\u8216{}Can Nature Hold Rights? It\\uc0\\u8217{}s Not as Easy as You Think\\uc0\\u8217{} (2022) 11 Transnational Environmental Law 525.","plainCitation":"Visa AJ Kurki, ‘Can Nature Hold Rights? It’s Not as Easy as You Think’ (2022) 11 Transnational Environmental Law 525.","noteIndex":12},"citationItems":[{"id":1828,"uris":["http://zotero.org/users/1464657/items/6RZJGZQ6"],"itemData":{"id":1828,"type":"article-journal","abstract":"The Rights of Nature movement has recently achieved significant successes in using legal personhood as a tool for environmental protection. Perhaps most famously, the Whanganui River in Aotearoa New Zealand was accorded legal personhood in 2017. These kinds of development have attracted plenty of scholarly interest, but few have scrutinized a foundational underlying question: Can natural areas, such as rivers, or other non-sentient natural entities actually be legal persons?\nThe case of the Whanganui River is an example of the direct legal personhood model: it purports to grant legal rights to the river directly. Some other jurisdictions have set up legal persons to administer rivers, without declaring the rivers themselves to be legal persons: the indirect legal personhood model. This article offers legal-philosophical arguments for why legal personhood cannot be attributed to rivers directly.\nNormally, legal persons can hold claim-rights and be legally wronged. Some legal persons, such as human adults, can also be held legally responsible and exercise legal competences by entering into contracts. Natural entities cannot do any of these things. Hence, they cannot be legal persons directly; rather, their putative direct legal personhood will collapse into indirect legal personhood. Hence, treating natural entities as direct legal persons amounts only to a legal fiction. Such fictions may be justified for symbolic reasons. However, if environmental protection requires setting up a legal person to protect a natural entity, such protection in most cases can be realized without claiming that the natural entity itself would have become a legal person.","container-title":"Transnational Environmental Law","DOI":"10.1017/S2047102522000358","ISSN":"2047-1025, 2047-1033","issue":"3","language":"en","page":"525-552","source":"Cambridge University Press","title":"Can Nature Hold Rights? It's Not as Easy as You Think","title-short":"Can Nature Hold Rights?","volume":"11","author":[{"family":"Kurki","given":"Visa A. J."}],"issued":{"date-parts":[["2022"]]}}}],"schema":"https://github.com/citation-style-language/schema/raw/master/csl-citation.json"} </w:instrText>
      </w:r>
      <w:r>
        <w:fldChar w:fldCharType="separate"/>
      </w:r>
      <w:r w:rsidRPr="003129D8">
        <w:rPr>
          <w:kern w:val="0"/>
        </w:rPr>
        <w:t>Visa AJ Kurki, ‘Can Nature Hold Rights? It’s Not as Easy as You Think’ (2022) 11 Transnational Environmental Law 525.</w:t>
      </w:r>
      <w:r>
        <w:fldChar w:fldCharType="end"/>
      </w:r>
    </w:p>
  </w:footnote>
  <w:footnote w:id="13">
    <w:p w14:paraId="78C10329" w14:textId="7FBCBB06" w:rsidR="00BD3E70" w:rsidRDefault="00BD3E70">
      <w:pPr>
        <w:pStyle w:val="FootnoteText"/>
      </w:pPr>
      <w:r w:rsidRPr="004B4765">
        <w:rPr>
          <w:rStyle w:val="FootnoteReference"/>
        </w:rPr>
        <w:footnoteRef/>
      </w:r>
      <w:r>
        <w:t xml:space="preserve"> </w:t>
      </w:r>
      <w:r>
        <w:fldChar w:fldCharType="begin"/>
      </w:r>
      <w:r w:rsidR="00ED4200">
        <w:instrText xml:space="preserve"> ADDIN ZOTERO_ITEM CSL_CITATION {"citationID":"4DteDIWe","properties":{"formattedCitation":"Brian J Preston, \\uc0\\u8216{}Internalizing Ecocentrism in Environmental Law\\uc0\\u8217{} in Michelle Maloney and Peter Burdon (eds), {\\i{}Wild Law - In Practice} (Routledge 2014); Paola Villavicencio-Calzadilla and Louis Kotz\\uc0\\u233{}, \\uc0\\u8216{}Re-Imagining Participation in the Anthropocene: The Potential of the Rights of Nature Paradigm\\uc0\\u8217{} in Birgit Peters and Eva Julia Lohse (eds), {\\i{}Sustainability through Participation? Perspectives from National, European and International Law} (Brill 2023).","plainCitation":"Brian J Preston, ‘Internalizing Ecocentrism in Environmental Law’ in Michelle Maloney and Peter Burdon (eds), Wild Law - In Practice (Routledge 2014); Paola Villavicencio-Calzadilla and Louis Kotzé, ‘Re-Imagining Participation in the Anthropocene: The Potential of the Rights of Nature Paradigm’ in Birgit Peters and Eva Julia Lohse (eds), Sustainability through Participation? Perspectives from National, European and International Law (Brill 2023).","noteIndex":13},"citationItems":[{"id":1848,"uris":["http://zotero.org/users/1464657/items/U6ZBCSP5"],"itemData":{"id":1848,"type":"chapter","container-title":"Wild Law - In Practice","event-place":"Abingdon, Oxon","page":"75-94","publisher":"Routledge","publisher-place":"Abingdon, Oxon","title":"Internalizing Ecocentrism in Environmental Law","author":[{"family":"Preston","given":"Brian J."}],"editor":[{"family":"Maloney","given":"Michelle"},{"family":"Burdon","given":"Peter"}],"issued":{"date-parts":[["2014"]]}}},{"id":1832,"uris":["http://zotero.org/users/1464657/items/HTFN7M9E"],"itemData":{"id":1832,"type":"chapter","abstract":"Abstract In this chapter we argue that our existing suite of anthropocentric law and governance arrangements that are aimed at environmental protection, are not sufficiently geared towards protecting the non-human world. We show how these laws actively exclude vulnerable non-humans in the governance processes that directly affect their health and well-being. Non-human interests must be more fully present and represented in our anthropocentric socio-regulatory institutions, and we argue that this could be accomplished through the rights of nature paradigm. We firstly reflect on the new socio-ecological reality of the Anthropocene, its deepening socio-ecological crisis, and its multiple patterns of differentially distributed vulnerability. We then interrogate why a rights of nature approach could be a viable option to extend participation opportunities to the non-human world. The next part analyses several examples from Latin American countries where rights of nature provisions are being used to facilitate participation of the non-human world. Our discussion shows that participation is mostly facilitated through guardianship and representation measures, which hold out considerable promise, despite limitations and pitfalls.","container-title":"Sustainability through Participation? Perspectives from National, European and International Law","language":"en","note":"section: Sustainability through Participation?\nDOI: 10.1163/9789004509382_004","page":"51-72","publisher":"Brill","source":"brill.com","title":"Re-imagining Participation in the Anthropocene: The Potential of the Rights of Nature Paradigm","title-short":"Chapter 2 Re-imagining Participation in the Anthropocene","author":[{"family":"Villavicencio-Calzadilla","given":"Paola"},{"family":"Kotzé","given":"Louis"}],"editor":[{"family":"Peters","given":"Birgit"},{"family":"Lohse","given":"Eva Julia"}],"issued":{"date-parts":[["2023"]]}}}],"schema":"https://github.com/citation-style-language/schema/raw/master/csl-citation.json"} </w:instrText>
      </w:r>
      <w:r>
        <w:fldChar w:fldCharType="separate"/>
      </w:r>
      <w:r w:rsidR="00004077" w:rsidRPr="00004077">
        <w:rPr>
          <w:kern w:val="0"/>
        </w:rPr>
        <w:t xml:space="preserve">Brian J Preston, ‘Internalizing Ecocentrism in Environmental Law’ in Michelle Maloney and Peter Burdon (eds), </w:t>
      </w:r>
      <w:r w:rsidR="00004077" w:rsidRPr="00004077">
        <w:rPr>
          <w:i/>
          <w:iCs/>
          <w:kern w:val="0"/>
        </w:rPr>
        <w:t>Wild Law - In Practice</w:t>
      </w:r>
      <w:r w:rsidR="00004077" w:rsidRPr="00004077">
        <w:rPr>
          <w:kern w:val="0"/>
        </w:rPr>
        <w:t xml:space="preserve"> (Routledge 2014); Paola Villavicencio-Calzadilla and Louis Kotzé, ‘Re-Imagining Participation in the Anthropocene: The Potential of the Rights of Nature Paradigm’ in Birgit Peters and Eva Julia Lohse (eds), </w:t>
      </w:r>
      <w:r w:rsidR="00004077" w:rsidRPr="00004077">
        <w:rPr>
          <w:i/>
          <w:iCs/>
          <w:kern w:val="0"/>
        </w:rPr>
        <w:t>Sustainability through Participation? Perspectives from National, European and International Law</w:t>
      </w:r>
      <w:r w:rsidR="00004077" w:rsidRPr="00004077">
        <w:rPr>
          <w:kern w:val="0"/>
        </w:rPr>
        <w:t xml:space="preserve"> (Brill 2023).</w:t>
      </w:r>
      <w:r>
        <w:fldChar w:fldCharType="end"/>
      </w:r>
    </w:p>
  </w:footnote>
  <w:footnote w:id="14">
    <w:p w14:paraId="5EA442C0" w14:textId="7BE7DC15" w:rsidR="00BD3E70" w:rsidRDefault="00BD3E70">
      <w:pPr>
        <w:pStyle w:val="FootnoteText"/>
      </w:pPr>
      <w:r w:rsidRPr="004B4765">
        <w:rPr>
          <w:rStyle w:val="FootnoteReference"/>
        </w:rPr>
        <w:footnoteRef/>
      </w:r>
      <w:r>
        <w:t xml:space="preserve"> </w:t>
      </w:r>
      <w:r>
        <w:fldChar w:fldCharType="begin"/>
      </w:r>
      <w:r w:rsidR="00ED4200">
        <w:instrText xml:space="preserve"> ADDIN ZOTERO_ITEM CSL_CITATION {"citationID":"o4UYmLuV","properties":{"formattedCitation":"Mihnea T\\uc0\\u259{}n\\uc0\\u259{}sescu, \\uc0\\u8216{}Rights of Nature, Legal Personality, and Indigenous Philosophies\\uc0\\u8217{} (2020) 9 Transnational Environmental Law 429.","plainCitation":"Mihnea Tănăsescu, ‘Rights of Nature, Legal Personality, and Indigenous Philosophies’ (2020) 9 Transnational Environmental Law 429.","noteIndex":14},"citationItems":[{"id":1860,"uris":["http://zotero.org/users/1464657/items/S3I6P8HG"],"itemData":{"id":1860,"type":"article-journal","abstract":"This article investigates the relationship between legal personality for nature and Indigenous philosophies by comparing two cases: the Ecuadorian Constitution of 2008 and the 2014 Te Urewera Act of Aotearoa, New Zealand. Through these case studies the article considers the nature of Indigenous relations with the concept of rights of nature, arguing that this relation is primarily strategic, not genealogical. The article engages with the concept of legal personality and shows that it is not a direct translation of Indigenous conceptions, but rather a potential straitjacket for Indigenous emancipatory politics. The radical character of Indigenous ontologies is not fully reflected in the concept of legal personality. Furthermore, the way in which rights are granted to the natural environment is an important part of the effect that such rights might have on Indigenous communities. Despite some affinities between rights of the environment and Indigenous philosophies, overstating the connection might constrain the radical political and legal implications of Indigenous thought.","container-title":"Transnational Environmental Law","DOI":"10.1017/S2047102520000217","ISSN":"2047-1025, 2047-1033","issue":"3","language":"en","page":"429-453","source":"Cambridge University Press","title":"Rights of Nature, Legal Personality, and Indigenous Philosophies","volume":"9","author":[{"family":"Tănăsescu","given":"Mihnea"}],"issued":{"date-parts":[["2020"]]}}}],"schema":"https://github.com/citation-style-language/schema/raw/master/csl-citation.json"} </w:instrText>
      </w:r>
      <w:r>
        <w:fldChar w:fldCharType="separate"/>
      </w:r>
      <w:r w:rsidRPr="00BD3E70">
        <w:rPr>
          <w:kern w:val="0"/>
        </w:rPr>
        <w:t>Mihnea Tănăsescu, ‘Rights of Nature, Legal Personality, and Indigenous Philosophies’ (2020) 9 Transnational Environmental Law 429.</w:t>
      </w:r>
      <w:r>
        <w:fldChar w:fldCharType="end"/>
      </w:r>
    </w:p>
  </w:footnote>
  <w:footnote w:id="15">
    <w:p w14:paraId="3FADA7D9" w14:textId="2DF78057" w:rsidR="00402C36" w:rsidRDefault="00402C36">
      <w:pPr>
        <w:pStyle w:val="FootnoteText"/>
      </w:pPr>
      <w:r w:rsidRPr="004B4765">
        <w:rPr>
          <w:rStyle w:val="FootnoteReference"/>
        </w:rPr>
        <w:footnoteRef/>
      </w:r>
      <w:r>
        <w:t xml:space="preserve"> </w:t>
      </w:r>
      <w:r>
        <w:fldChar w:fldCharType="begin"/>
      </w:r>
      <w:r w:rsidR="00ED4200">
        <w:instrText xml:space="preserve"> ADDIN ZOTERO_ITEM CSL_CITATION {"citationID":"VuzbMaMM","properties":{"formattedCitation":"Erin O\\uc0\\u8217{}Donnell and others, \\uc0\\u8216{}Stop Burying the Lede: The Essential Role of Indigenous Law(s) in Creating Rights of Nature\\uc0\\u8217{} (2020) 9 Transnational Environmental Law 403; Craig M Kauffman and Pamela L Martin, {\\i{}The Politics of Rights of Nature: Strategies for Building a More Sustainable Future} (MIT Press 2021).","plainCitation":"Erin O’Donnell and others, ‘Stop Burying the Lede: The Essential Role of Indigenous Law(s) in Creating Rights of Nature’ (2020) 9 Transnational Environmental Law 403; Craig M Kauffman and Pamela L Martin, The Politics of Rights of Nature: Strategies for Building a More Sustainable Future (MIT Press 2021).","noteIndex":15},"citationItems":[{"id":1816,"uris":["http://zotero.org/users/1464657/items/KR24ZWEI"],"itemData":{"id":1816,"type":"article-journal","abstract":"The rapid emergence of rights of Nature over the past decade across multiple contexts has fostered increasing awareness, recognition, and, ultimately, acceptance of rights of Nature by the global community. Yet, too often, both scholarly publications and news articles bury the lede – namely, that the most transformative cases of rights of Nature have been consistently influenced and often actually led by Indigenous peoples. In this article we explore the ontologies of rights of Nature and earth jurisprudence, and the intersections of these movements with the leadership of Indigenous peoples in claiming and giving effect to their own rights (while acknowledging that not all Indigenous peoples support rights of Nature). Based on early observations, we discern an emerging trend of increased efficacy, longevity, and transformative potential being linked to a strongly pluralist approach of lawmaking and environmental management. A truly transformative and pluralist ecological jurisprudence can be achieved only by enabling, and empowering, Indigenous leadership.","container-title":"Transnational Environmental Law","DOI":"10.1017/S2047102520000242","ISSN":"2047-1025, 2047-1033","issue":"3","language":"en","page":"403-427","source":"Cambridge University Press","title":"Stop Burying the Lede: The Essential Role of Indigenous Law(s) in Creating Rights of Nature","title-short":"Stop Burying the Lede","volume":"9","author":[{"family":"O'Donnell","given":"Erin"},{"family":"Poelina","given":"Anne"},{"family":"Pelizzon","given":"Alessandro"},{"family":"Clark","given":"Cristy"}],"issued":{"date-parts":[["2020"]]}}},{"id":1833,"uris":["http://zotero.org/users/1464657/items/BI3BZ3AW"],"itemData":{"id":1833,"type":"book","abstract":"How Rights of Nature laws are transforming governance to address environmental crises through more ecologically sustainable approaches to development.With th...","language":"en-US","publisher":"MIT Press","title":"The Politics of Rights of Nature: Strategies for Building a More Sustainable Future","author":[{"family":"Kauffman","given":"Craig M."},{"family":"Martin","given":"Pamela L."}],"issued":{"date-parts":[["2021"]]}}}],"schema":"https://github.com/citation-style-language/schema/raw/master/csl-citation.json"} </w:instrText>
      </w:r>
      <w:r>
        <w:fldChar w:fldCharType="separate"/>
      </w:r>
      <w:r w:rsidR="00004077" w:rsidRPr="00004077">
        <w:rPr>
          <w:kern w:val="0"/>
        </w:rPr>
        <w:t xml:space="preserve">Erin O’Donnell and others, ‘Stop Burying the Lede: The Essential Role of Indigenous Law(s) in Creating Rights of Nature’ (2020) 9 Transnational Environmental Law 403; Craig M Kauffman and Pamela L Martin, </w:t>
      </w:r>
      <w:r w:rsidR="00004077" w:rsidRPr="00004077">
        <w:rPr>
          <w:i/>
          <w:iCs/>
          <w:kern w:val="0"/>
        </w:rPr>
        <w:t>The Politics of Rights of Nature: Strategies for Building a More Sustainable Future</w:t>
      </w:r>
      <w:r w:rsidR="00004077" w:rsidRPr="00004077">
        <w:rPr>
          <w:kern w:val="0"/>
        </w:rPr>
        <w:t xml:space="preserve"> (MIT Press 2021).</w:t>
      </w:r>
      <w:r>
        <w:fldChar w:fldCharType="end"/>
      </w:r>
    </w:p>
  </w:footnote>
  <w:footnote w:id="16">
    <w:p w14:paraId="49B32CC6" w14:textId="0CE5611F" w:rsidR="00402C36" w:rsidRDefault="00402C36">
      <w:pPr>
        <w:pStyle w:val="FootnoteText"/>
      </w:pPr>
      <w:r w:rsidRPr="004B4765">
        <w:rPr>
          <w:rStyle w:val="FootnoteReference"/>
        </w:rPr>
        <w:footnoteRef/>
      </w:r>
      <w:r>
        <w:t xml:space="preserve"> </w:t>
      </w:r>
      <w:r>
        <w:fldChar w:fldCharType="begin"/>
      </w:r>
      <w:r w:rsidR="00ED4200">
        <w:instrText xml:space="preserve"> ADDIN ZOTERO_ITEM CSL_CITATION {"citationID":"93Ugxg9i","properties":{"formattedCitation":"T\\uc0\\u259{}n\\uc0\\u259{}sescu (n 14).","plainCitation":"Tănăsescu (n 14).","noteIndex":16},"citationItems":[{"id":1860,"uris":["http://zotero.org/users/1464657/items/S3I6P8HG"],"itemData":{"id":1860,"type":"article-journal","abstract":"This article investigates the relationship between legal personality for nature and Indigenous philosophies by comparing two cases: the Ecuadorian Constitution of 2008 and the 2014 Te Urewera Act of Aotearoa, New Zealand. Through these case studies the article considers the nature of Indigenous relations with the concept of rights of nature, arguing that this relation is primarily strategic, not genealogical. The article engages with the concept of legal personality and shows that it is not a direct translation of Indigenous conceptions, but rather a potential straitjacket for Indigenous emancipatory politics. The radical character of Indigenous ontologies is not fully reflected in the concept of legal personality. Furthermore, the way in which rights are granted to the natural environment is an important part of the effect that such rights might have on Indigenous communities. Despite some affinities between rights of the environment and Indigenous philosophies, overstating the connection might constrain the radical political and legal implications of Indigenous thought.","container-title":"Transnational Environmental Law","DOI":"10.1017/S2047102520000217","ISSN":"2047-1025, 2047-1033","issue":"3","language":"en","page":"429-453","source":"Cambridge University Press","title":"Rights of Nature, Legal Personality, and Indigenous Philosophies","volume":"9","author":[{"family":"Tănăsescu","given":"Mihnea"}],"issued":{"date-parts":[["2020"]]}}}],"schema":"https://github.com/citation-style-language/schema/raw/master/csl-citation.json"} </w:instrText>
      </w:r>
      <w:r>
        <w:fldChar w:fldCharType="separate"/>
      </w:r>
      <w:r w:rsidR="00ED4200" w:rsidRPr="00ED4200">
        <w:rPr>
          <w:kern w:val="0"/>
        </w:rPr>
        <w:t>Tănăsescu (n 14).</w:t>
      </w:r>
      <w:r>
        <w:fldChar w:fldCharType="end"/>
      </w:r>
    </w:p>
  </w:footnote>
  <w:footnote w:id="17">
    <w:p w14:paraId="3A6441B0" w14:textId="1FC80579" w:rsidR="00402C36" w:rsidRDefault="00402C36">
      <w:pPr>
        <w:pStyle w:val="FootnoteText"/>
      </w:pPr>
      <w:r w:rsidRPr="004B4765">
        <w:rPr>
          <w:rStyle w:val="FootnoteReference"/>
        </w:rPr>
        <w:footnoteRef/>
      </w:r>
      <w:r>
        <w:t xml:space="preserve"> </w:t>
      </w:r>
      <w:r>
        <w:fldChar w:fldCharType="begin"/>
      </w:r>
      <w:r w:rsidR="00ED4200">
        <w:instrText xml:space="preserve"> ADDIN ZOTERO_ITEM CSL_CITATION {"citationID":"lluPAG7d","properties":{"formattedCitation":"Craig M Kauffman and Pamela L Martin, \\uc0\\u8216{}How Ecuador\\uc0\\u8217{}s Courts Are Giving Form and Force to Rights of Nature Norms\\uc0\\u8217{} (2023) 12 Transnational Environmental Law 366.","plainCitation":"Craig M Kauffman and Pamela L Martin, ‘How Ecuador’s Courts Are Giving Form and Force to Rights of Nature Norms’ (2023) 12 Transnational Environmental Law 366.","noteIndex":17},"citationItems":[{"id":1863,"uris":["http://zotero.org/users/1464657/items/ZW8M5UUW"],"itemData":{"id":1863,"type":"article-journal","abstract":"In 2008, Ecuador recognized rights of nature (RoN) in its Constitution. Since then, RoN have been relied upon in judicial decisions 55 times in Ecuador. Following years of ad hoc treatment of RoN by Ecuador's government and courts, its Constitutional Court selected various cases to establish binding jurisprudence in respect of RoN. In doing so, the Constitutional Court and various provincial courts in Ecuador have clarified the content of RoN, including specific criteria for determining RoN violations and the relationship between RoN and other constitutional rights, including community and economic rights related to development. Moreover, the courts are imposing sanctions on RoN violators, including the state and powerful commercial sectors. This article shows how Ecuadorian court decisions are changing RoN from a vague, abstract concept into a set of specific standards for how to balance RoN with various human rights and existing environmental law in order to implement sustainable development in an integrated and holistic manner that does not sacrifice ecosystem functioning. In doing so, the article contributes to the emerging literature on how new environmental law norms are constructed as they are put into practice, as well as the important role that judges play as norm entrepreneurs.","container-title":"Transnational Environmental Law","DOI":"10.1017/S2047102523000080","ISSN":"2047-1025, 2047-1033","issue":"2","language":"en","page":"366-395","source":"Cambridge University Press","title":"How Ecuador's Courts are Giving Form and Force to Rights of Nature Norms","volume":"12","author":[{"family":"Kauffman","given":"Craig M."},{"family":"Martin","given":"Pamela L."}],"issued":{"date-parts":[["2023"]]}}}],"schema":"https://github.com/citation-style-language/schema/raw/master/csl-citation.json"} </w:instrText>
      </w:r>
      <w:r>
        <w:fldChar w:fldCharType="separate"/>
      </w:r>
      <w:r w:rsidRPr="00402C36">
        <w:rPr>
          <w:kern w:val="0"/>
        </w:rPr>
        <w:t>Craig M Kauffman and Pamela L Martin, ‘How Ecuador’s Courts Are Giving Form and Force to Rights of Nature Norms’ (2023) 12 Transnational Environmental Law 366.</w:t>
      </w:r>
      <w:r>
        <w:fldChar w:fldCharType="end"/>
      </w:r>
    </w:p>
  </w:footnote>
  <w:footnote w:id="18">
    <w:p w14:paraId="43D87462" w14:textId="00D63699" w:rsidR="00402C36" w:rsidRDefault="00402C36">
      <w:pPr>
        <w:pStyle w:val="FootnoteText"/>
      </w:pPr>
      <w:r w:rsidRPr="004B4765">
        <w:rPr>
          <w:rStyle w:val="FootnoteReference"/>
        </w:rPr>
        <w:footnoteRef/>
      </w:r>
      <w:r>
        <w:t xml:space="preserve"> </w:t>
      </w:r>
      <w:r>
        <w:fldChar w:fldCharType="begin"/>
      </w:r>
      <w:r w:rsidR="00ED4200">
        <w:instrText xml:space="preserve"> ADDIN ZOTERO_ITEM CSL_CITATION {"citationID":"L4H4mpz5","properties":{"formattedCitation":"Akshita Jha and Adrija Ghosh, \\uc0\\u8216{}Is Being a \\uc0\\u8220{}Person\\uc0\\u8221{} Essential for the Environment to Hold Rights? Assessing the Legitimacy of Environmental Personhood and Alternative Approaches\\uc0\\u8217{} (2018) 11 NUJS Law Review 469.","plainCitation":"Akshita Jha and Adrija Ghosh, ‘Is Being a “Person” Essential for the Environment to Hold Rights? Assessing the Legitimacy of Environmental Personhood and Alternative Approaches’ (2018) 11 NUJS Law Review 469.","noteIndex":18},"citationItems":[{"id":1837,"uris":["http://zotero.org/users/1464657/items/JIH4D2GS"],"itemData":{"id":1837,"type":"article-journal","container-title":"NUJS Law Review","issue":"3","journalAbbreviation":"NUJS L. Rev.","language":"eng","page":"469-514","source":"HeinOnline","title":"Is Being a 'Person' Essential for the Environment to Hold Rights? Assessing the Legitimacy of Environmental Personhood and Alternative Approaches","title-short":"Is Being a 'Person' Essential for the Environment to Hold Rights?","volume":"11","author":[{"family":"Jha","given":"Akshita"},{"family":"Ghosh","given":"Adrija"}],"issued":{"date-parts":[["2018"]]}}}],"schema":"https://github.com/citation-style-language/schema/raw/master/csl-citation.json"} </w:instrText>
      </w:r>
      <w:r>
        <w:fldChar w:fldCharType="separate"/>
      </w:r>
      <w:r w:rsidRPr="00402C36">
        <w:rPr>
          <w:kern w:val="0"/>
        </w:rPr>
        <w:t>Akshita Jha and Adrija Ghosh, ‘Is Being a “Person” Essential for the Environment to Hold Rights? Assessing the Legitimacy of Environmental Personhood and Alternative Approaches’ (2018) 11 NUJS Law Review 469.</w:t>
      </w:r>
      <w:r>
        <w:fldChar w:fldCharType="end"/>
      </w:r>
    </w:p>
  </w:footnote>
  <w:footnote w:id="19">
    <w:p w14:paraId="2908BD6B" w14:textId="3AB1CE08" w:rsidR="00BE5243" w:rsidRDefault="00BE5243">
      <w:pPr>
        <w:pStyle w:val="FootnoteText"/>
      </w:pPr>
      <w:r w:rsidRPr="004B4765">
        <w:rPr>
          <w:rStyle w:val="FootnoteReference"/>
        </w:rPr>
        <w:footnoteRef/>
      </w:r>
      <w:r>
        <w:t xml:space="preserve"> </w:t>
      </w:r>
      <w:r>
        <w:fldChar w:fldCharType="begin"/>
      </w:r>
      <w:r w:rsidR="00ED4200">
        <w:instrText xml:space="preserve"> ADDIN ZOTERO_ITEM CSL_CITATION {"citationID":"ZuwYysaf","properties":{"formattedCitation":"Mauricio Guim and Michael A Livermore, \\uc0\\u8216{}Where Nature\\uc0\\u8217{}s Rights Go Wrong\\uc0\\u8217{} (2021) 107 Virginia Law Review 1347.","plainCitation":"Mauricio Guim and Michael A Livermore, ‘Where Nature’s Rights Go Wrong’ (2021) 107 Virginia Law Review 1347.","noteIndex":19},"citationItems":[{"id":1836,"uris":["http://zotero.org/users/1464657/items/P8ZWS5WZ"],"itemData":{"id":1836,"type":"article-journal","abstract":"­­­­ There is an increasing push by environmentalists, scholars, and some politicians in favor of a form of environmental rights referred to as “rights of nature” or “nature’s rights.” A milestone victory in this movement was the incorporation of rights of nature into the Ecuadorian constitution in 2008. However, there are reasons to be skeptical","container-title":"Virginia Law Review","issue":"7","language":"en-US","page":"1347-1419","title":"Where Nature’s Rights Go Wrong","volume":"107","author":[{"family":"Guim","given":"Mauricio"},{"family":"Livermore","given":"Michael A."}],"issued":{"date-parts":[["2021"]]}}}],"schema":"https://github.com/citation-style-language/schema/raw/master/csl-citation.json"} </w:instrText>
      </w:r>
      <w:r>
        <w:fldChar w:fldCharType="separate"/>
      </w:r>
      <w:r w:rsidRPr="00BE5243">
        <w:rPr>
          <w:kern w:val="0"/>
        </w:rPr>
        <w:t>Mauricio Guim and Michael A Livermore, ‘Where Nature’s Rights Go Wrong’ (2021) 107 Virginia Law Review 1347.</w:t>
      </w:r>
      <w:r>
        <w:fldChar w:fldCharType="end"/>
      </w:r>
    </w:p>
  </w:footnote>
  <w:footnote w:id="20">
    <w:p w14:paraId="05595DD9" w14:textId="7387B387" w:rsidR="00BE5243" w:rsidRDefault="00BE5243">
      <w:pPr>
        <w:pStyle w:val="FootnoteText"/>
      </w:pPr>
      <w:r w:rsidRPr="004B4765">
        <w:rPr>
          <w:rStyle w:val="FootnoteReference"/>
        </w:rPr>
        <w:footnoteRef/>
      </w:r>
      <w:r>
        <w:t xml:space="preserve"> </w:t>
      </w:r>
      <w:r>
        <w:fldChar w:fldCharType="begin"/>
      </w:r>
      <w:r w:rsidR="00ED4200">
        <w:instrText xml:space="preserve"> ADDIN ZOTERO_ITEM CSL_CITATION {"citationID":"8KMRzZ87","properties":{"formattedCitation":"Virginia Marshall, \\uc0\\u8216{}Removing the Veil from the \\uc0\\u8220{}Rights of Nature\\uc0\\u8221{}: The Dichotomy between First Nations Customary Rights and Environmental Legal Personhood\\uc0\\u8217{} (2019) 45 Australian Feminist Law Journal 233.","plainCitation":"Virginia Marshall, ‘Removing the Veil from the “Rights of Nature”: The Dichotomy between First Nations Customary Rights and Environmental Legal Personhood’ (2019) 45 Australian Feminist Law Journal 233.","noteIndex":20},"citationItems":[{"id":1853,"uris":["http://zotero.org/users/1464657/items/2Z7CKV65"],"itemData":{"id":1853,"type":"article-journal","abstract":"The legal concept of the creation of a legal entity is not trailblazing territory of itself, although introducing and advocating for the legal personality of a river may be. However, advocating for the rights of nature on grounds that all humans over-exploit, abuse and contaminate the environment is as misleading as it is untrue. The Indigenous peoples of Australia have a primary, unique and inherent obligation to ‘Care for Country’ according to the Indigenous rule of law; exercising the protection and management of the Aboriginal and Torres Strait Islander environment. The Indigenous rule of law and the obligation to ‘Care for Country’ stretches back many millennia yet Australian domestic laws and policies fail to properly support the exercise of such obligations by Indigenous Australians. In this article I argue, rather than embracing a ‘rights of nature’ property paradigm in Australia, we should instead empower First Nations people to take a pivotal, even primary, role in caring for Country.","container-title":"Australian Feminist Law Journal","DOI":"10.1080/13200968.2019.1802154","ISSN":"1320-0968","issue":"2","note":"publisher: Routledge\n_eprint: https://doi.org/10.1080/13200968.2019.1802154","page":"233-248","source":"Taylor and Francis+NEJM","title":"Removing the Veil from the ‘Rights of Nature’: The Dichotomy between First Nations Customary Rights and Environmental Legal Personhood","title-short":"Removing the Veil from the ‘Rights of Nature’","volume":"45","author":[{"family":"Marshall","given":"Virginia"}],"issued":{"date-parts":[["2019"]]}}}],"schema":"https://github.com/citation-style-language/schema/raw/master/csl-citation.json"} </w:instrText>
      </w:r>
      <w:r>
        <w:fldChar w:fldCharType="separate"/>
      </w:r>
      <w:r w:rsidRPr="00BE5243">
        <w:rPr>
          <w:kern w:val="0"/>
        </w:rPr>
        <w:t>Virginia Marshall, ‘Removing the Veil from the “Rights of Nature”: The Dichotomy between First Nations Customary Rights and Environmental Legal Personhood’ (2019) 45 Australian Feminist Law Journal 233.</w:t>
      </w:r>
      <w:r>
        <w:fldChar w:fldCharType="end"/>
      </w:r>
    </w:p>
  </w:footnote>
  <w:footnote w:id="21">
    <w:p w14:paraId="5D14F8FD" w14:textId="66D93AF8" w:rsidR="006266FF" w:rsidRDefault="006266FF">
      <w:pPr>
        <w:pStyle w:val="FootnoteText"/>
      </w:pPr>
      <w:r w:rsidRPr="004B4765">
        <w:rPr>
          <w:rStyle w:val="FootnoteReference"/>
        </w:rPr>
        <w:footnoteRef/>
      </w:r>
      <w:r>
        <w:t xml:space="preserve"> </w:t>
      </w:r>
      <w:r>
        <w:fldChar w:fldCharType="begin"/>
      </w:r>
      <w:r w:rsidR="00ED4200">
        <w:instrText xml:space="preserve"> ADDIN ZOTERO_ITEM CSL_CITATION {"citationID":"1tmKC1Bm","properties":{"formattedCitation":"Ludwig Kr\\uc0\\u228{}mer, \\uc0\\u8216{}Rights of Nature and Their Implementation\\uc0\\u8217{} (2020) 17 Journal for European Environmental &amp; Planning Law 47.","plainCitation":"Ludwig Krämer, ‘Rights of Nature and Their Implementation’ (2020) 17 Journal for European Environmental &amp; Planning Law 47.","noteIndex":21},"citationItems":[{"id":1862,"uris":["http://zotero.org/users/1464657/items/VB2RMGIG"],"itemData":{"id":1862,"type":"article-journal","abstract":"This paper passes in review the different pieces of legislation and court judgments which were issued until now as regards rights of nature, and critically comments on their impact. In a first section, the legislation, including the constitutional texts of some countries, will be presented. In a second section, the implementation of the different measures will be discussed, also with a view, whether the EU could learn from the trend to give natural assets rights of their own. Short concluding remarks will end the contribution.","container-title":"Journal for European Environmental &amp; Planning Law","DOI":"10.1163/18760104-01701005","issue":"1","language":"en","note":"publisher: Brill","page":"47-75","source":"brill.com","title":"Rights of Nature and their Implementation","volume":"17","author":[{"family":"Krämer","given":"Ludwig"}],"issued":{"date-parts":[["2020"]]}}}],"schema":"https://github.com/citation-style-language/schema/raw/master/csl-citation.json"} </w:instrText>
      </w:r>
      <w:r>
        <w:fldChar w:fldCharType="separate"/>
      </w:r>
      <w:r w:rsidRPr="006266FF">
        <w:rPr>
          <w:kern w:val="0"/>
        </w:rPr>
        <w:t>Ludwig Krämer, ‘Rights of Nature and Their Implementation’ (2020) 17 Journal for European Environmental &amp; Planning Law 47.</w:t>
      </w:r>
      <w:r>
        <w:fldChar w:fldCharType="end"/>
      </w:r>
    </w:p>
  </w:footnote>
  <w:footnote w:id="22">
    <w:p w14:paraId="49998049" w14:textId="6EDE1A04" w:rsidR="00344DDC" w:rsidRDefault="00344DDC">
      <w:pPr>
        <w:pStyle w:val="FootnoteText"/>
      </w:pPr>
      <w:r w:rsidRPr="004B4765">
        <w:rPr>
          <w:rStyle w:val="FootnoteReference"/>
        </w:rPr>
        <w:footnoteRef/>
      </w:r>
      <w:r>
        <w:t xml:space="preserve"> </w:t>
      </w:r>
      <w:r>
        <w:fldChar w:fldCharType="begin"/>
      </w:r>
      <w:r w:rsidR="00ED4200">
        <w:instrText xml:space="preserve"> ADDIN ZOTERO_ITEM CSL_CITATION {"citationID":"H9zyGCtV","properties":{"formattedCitation":"Joshua C Gellers, \\uc0\\u8216{}Earth System Law and the Legal Status of Non-Humans in the Anthropocene\\uc0\\u8217{} (2021) 7 Earth System Governance 100083.","plainCitation":"Joshua C Gellers, ‘Earth System Law and the Legal Status of Non-Humans in the Anthropocene’ (2021) 7 Earth System Governance 100083.","dontUpdate":true,"noteIndex":22},"citationItems":[{"id":1946,"uris":["http://zotero.org/users/1464657/items/UVIMYI7C"],"itemData":{"id":1946,"type":"article-journal","abstract":"Who belongs to communities of justice in the Anthropocene? While Western and non-Western traditions alike have typically afforded legal recognition primarily to humans and secondarily to some non-human entities under limited conditions, arrival of the Anthropocene suggests a new approach is needed in order to address the range and origins of injustices occurring within the Earth system. Beginning with a discussion of Earth system law and how its expansive scope accommodates non-traditional legal subjects, the essay proceeds with an overview of the rights of nature movement. I then present a comparative analysis of rights of nature cases adjudicated in Ecuador, Colombia, and India. From the foregoing evidence I argue that both theory and practice support broadening the universe of entities capable of qualifying as legal subjects eligible for legal rights to include both natural and artefactual non-humans, a move integral to obtaining socio-ecological justice under Earth system law.","container-title":"Earth System Governance","DOI":"10.1016/j.esg.2020.100083","ISSN":"2589-8116","journalAbbreviation":"Earth System Governance","page":"100083","source":"ScienceDirect","title":"Earth System Law and the Legal Status of Non-humans in the Anthropocene","volume":"7","author":[{"family":"Gellers","given":"Joshua C."}],"issued":{"date-parts":[["2021"]]}}}],"schema":"https://github.com/citation-style-language/schema/raw/master/csl-citation.json"} </w:instrText>
      </w:r>
      <w:r>
        <w:fldChar w:fldCharType="separate"/>
      </w:r>
      <w:r w:rsidR="001F47B6">
        <w:rPr>
          <w:kern w:val="0"/>
        </w:rPr>
        <w:t>Author redacted</w:t>
      </w:r>
      <w:r w:rsidRPr="00344DDC">
        <w:rPr>
          <w:kern w:val="0"/>
        </w:rPr>
        <w:t>.</w:t>
      </w:r>
      <w:r>
        <w:fldChar w:fldCharType="end"/>
      </w:r>
    </w:p>
  </w:footnote>
  <w:footnote w:id="23">
    <w:p w14:paraId="6C70A3A5" w14:textId="16A1FB67" w:rsidR="00E77C6F" w:rsidRDefault="00E77C6F">
      <w:pPr>
        <w:pStyle w:val="FootnoteText"/>
      </w:pPr>
      <w:r w:rsidRPr="004B4765">
        <w:rPr>
          <w:rStyle w:val="FootnoteReference"/>
        </w:rPr>
        <w:footnoteRef/>
      </w:r>
      <w:r>
        <w:t xml:space="preserve"> </w:t>
      </w:r>
      <w:r>
        <w:fldChar w:fldCharType="begin"/>
      </w:r>
      <w:r w:rsidR="00ED4200">
        <w:instrText xml:space="preserve"> ADDIN ZOTERO_ITEM CSL_CITATION {"citationID":"KDTA7rw8","properties":{"formattedCitation":"Kauffman and Martin (n 17) 394.","plainCitation":"Kauffman and Martin (n 17) 394.","noteIndex":23},"citationItems":[{"id":1863,"uris":["http://zotero.org/users/1464657/items/ZW8M5UUW"],"itemData":{"id":1863,"type":"article-journal","abstract":"In 2008, Ecuador recognized rights of nature (RoN) in its Constitution. Since then, RoN have been relied upon in judicial decisions 55 times in Ecuador. Following years of ad hoc treatment of RoN by Ecuador's government and courts, its Constitutional Court selected various cases to establish binding jurisprudence in respect of RoN. In doing so, the Constitutional Court and various provincial courts in Ecuador have clarified the content of RoN, including specific criteria for determining RoN violations and the relationship between RoN and other constitutional rights, including community and economic rights related to development. Moreover, the courts are imposing sanctions on RoN violators, including the state and powerful commercial sectors. This article shows how Ecuadorian court decisions are changing RoN from a vague, abstract concept into a set of specific standards for how to balance RoN with various human rights and existing environmental law in order to implement sustainable development in an integrated and holistic manner that does not sacrifice ecosystem functioning. In doing so, the article contributes to the emerging literature on how new environmental law norms are constructed as they are put into practice, as well as the important role that judges play as norm entrepreneurs.","container-title":"Transnational Environmental Law","DOI":"10.1017/S2047102523000080","ISSN":"2047-1025, 2047-1033","issue":"2","language":"en","page":"366-395","source":"Cambridge University Press","title":"How Ecuador's Courts are Giving Form and Force to Rights of Nature Norms","volume":"12","author":[{"family":"Kauffman","given":"Craig M."},{"family":"Martin","given":"Pamela L."}],"issued":{"date-parts":[["2023"]]}},"locator":"394","label":"page"}],"schema":"https://github.com/citation-style-language/schema/raw/master/csl-citation.json"} </w:instrText>
      </w:r>
      <w:r>
        <w:fldChar w:fldCharType="separate"/>
      </w:r>
      <w:r w:rsidR="00ED4200">
        <w:rPr>
          <w:noProof/>
        </w:rPr>
        <w:t>Kauffman and Martin (n 17) 394.</w:t>
      </w:r>
      <w:r>
        <w:fldChar w:fldCharType="end"/>
      </w:r>
    </w:p>
  </w:footnote>
  <w:footnote w:id="24">
    <w:p w14:paraId="7738B77F" w14:textId="415E1D2D" w:rsidR="00871929" w:rsidRDefault="00871929">
      <w:pPr>
        <w:pStyle w:val="FootnoteText"/>
      </w:pPr>
      <w:r w:rsidRPr="004B4765">
        <w:rPr>
          <w:rStyle w:val="FootnoteReference"/>
        </w:rPr>
        <w:footnoteRef/>
      </w:r>
      <w:r>
        <w:t xml:space="preserve"> </w:t>
      </w:r>
      <w:r>
        <w:fldChar w:fldCharType="begin"/>
      </w:r>
      <w:r w:rsidR="00ED4200">
        <w:instrText xml:space="preserve"> ADDIN ZOTERO_ITEM CSL_CITATION {"citationID":"e99NMzEj","properties":{"formattedCitation":"Craig M Kauffman, \\uc0\\u8216{}Global Patterns and Trends in Rights of Nature Legal Provisions: Insights from the Eco Jurisprudence Monitor\\uc0\\u8217{} in C\\uc0\\u233{}sar Rodr\\uc0\\u237{}guez-Garavito (ed), {\\i{}More than Human Rights: An Ecology of Law, Thought and Narrative for Earthly Flourishing} (NYU MOTH Project 2024).","plainCitation":"Craig M Kauffman, ‘Global Patterns and Trends in Rights of Nature Legal Provisions: Insights from the Eco Jurisprudence Monitor’ in César Rodríguez-Garavito (ed), More than Human Rights: An Ecology of Law, Thought and Narrative for Earthly Flourishing (NYU MOTH Project 2024).","noteIndex":24},"citationItems":[{"id":1861,"uris":["http://zotero.org/users/1464657/items/NV6PIYV6"],"itemData":{"id":1861,"type":"chapter","container-title":"More than Human Rights: An Ecology of Law, Thought and Narrative for Earthly Flourishing","event-place":"New York","page":"183-210","publisher":"NYU MOTH Project","publisher-place":"New York","title":"Global Patterns and Trends in Rights of Nature Legal Provisions: Insights from the Eco Jurisprudence Monitor","editor":[{"family":"Rodríguez-Garavito","given":"César"}],"author":[{"family":"Kauffman","given":"Craig M."}],"issued":{"date-parts":[["2024"]]}}}],"schema":"https://github.com/citation-style-language/schema/raw/master/csl-citation.json"} </w:instrText>
      </w:r>
      <w:r>
        <w:fldChar w:fldCharType="separate"/>
      </w:r>
      <w:r w:rsidRPr="00871929">
        <w:rPr>
          <w:kern w:val="0"/>
        </w:rPr>
        <w:t xml:space="preserve">Craig M Kauffman, ‘Global Patterns and Trends in Rights of Nature Legal Provisions: Insights from the Eco Jurisprudence Monitor’ in César Rodríguez-Garavito (ed), </w:t>
      </w:r>
      <w:r w:rsidRPr="00871929">
        <w:rPr>
          <w:i/>
          <w:iCs/>
          <w:kern w:val="0"/>
        </w:rPr>
        <w:t>More than Human Rights: An Ecology of Law, Thought and Narrative for Earthly Flourishing</w:t>
      </w:r>
      <w:r w:rsidRPr="00871929">
        <w:rPr>
          <w:kern w:val="0"/>
        </w:rPr>
        <w:t xml:space="preserve"> (NYU MOTH Project 2024).</w:t>
      </w:r>
      <w:r>
        <w:fldChar w:fldCharType="end"/>
      </w:r>
    </w:p>
  </w:footnote>
  <w:footnote w:id="25">
    <w:p w14:paraId="4D04358D" w14:textId="5B7615CF" w:rsidR="00341FA5" w:rsidRDefault="00341FA5">
      <w:pPr>
        <w:pStyle w:val="FootnoteText"/>
      </w:pPr>
      <w:r w:rsidRPr="004B4765">
        <w:rPr>
          <w:rStyle w:val="FootnoteReference"/>
        </w:rPr>
        <w:footnoteRef/>
      </w:r>
      <w:r>
        <w:t xml:space="preserve"> </w:t>
      </w:r>
      <w:r>
        <w:fldChar w:fldCharType="begin"/>
      </w:r>
      <w:r w:rsidR="00ED4200">
        <w:instrText xml:space="preserve"> ADDIN ZOTERO_ITEM CSL_CITATION {"citationID":"bNpMqXeE","properties":{"formattedCitation":"Viktoria Kahui, Claire W Armstrong and Margrethe Aanesen, \\uc0\\u8216{}Comparative Analysis of Rights of Nature (RoN) Case Studies Worldwide: Features of Emergence and Design\\uc0\\u8217{} (2024) 221 Ecological Economics 108193.","plainCitation":"Viktoria Kahui, Claire W Armstrong and Margrethe Aanesen, ‘Comparative Analysis of Rights of Nature (RoN) Case Studies Worldwide: Features of Emergence and Design’ (2024) 221 Ecological Economics 108193.","noteIndex":25},"citationItems":[{"id":1826,"uris":["http://zotero.org/users/1464657/items/K2ZX2NVP"],"itemData":{"id":1826,"type":"article-journal","abstract":"We provide a descriptive comparative analysis of features related to emergence and design among 14 Rights of Nature (RoN) case studies worldwide. For analysis, we develop a schematic roadmap in which we categorise RoN into case studies with public guardianship and ones with appointed guardians (termed Environmental Legal Personhoods (ELPs) with further sub-categories of indirect, direct and living ELPs). Our findings suggest that RoN case studies emerged under similar circumstances where existing governance structures had been unable to protect natural environments from continued economic (urban, agricultural and industrial) activity by multiple economic actors. The strong role of local community and Indigenous Peoples in advocacy for RoN point to a divide between in situ communities and external economic agents, allowing for eco-centric value systems to emerge in juxtaposition to existing governance structures. We find that the design of RoN, however, varies in geographical entity, legal framework, legal status and guardianship. Poorly defined liability of guardians and economic agents have led to the overturning of two case studies, which stands in contrast to well-defined rights and liabilities in other case studies, suggesting that attention to liability may be an important building block for the effectiveness of RoN to protect biodiversity.","container-title":"Ecological Economics","DOI":"10.1016/j.ecolecon.2024.108193","ISSN":"0921-8009","journalAbbreviation":"Ecological Economics","page":"108193","source":"ScienceDirect","title":"Comparative Analysis of Rights of Nature (RoN) Case Studies Worldwide: Features of Emergence and Design","title-short":"Comparative analysis of Rights of Nature (RoN) case studies worldwide","volume":"221","author":[{"family":"Kahui","given":"Viktoria"},{"family":"Armstrong","given":"Claire W."},{"family":"Aanesen","given":"Margrethe"}],"issued":{"date-parts":[["2024"]]}}}],"schema":"https://github.com/citation-style-language/schema/raw/master/csl-citation.json"} </w:instrText>
      </w:r>
      <w:r>
        <w:fldChar w:fldCharType="separate"/>
      </w:r>
      <w:r w:rsidRPr="00341FA5">
        <w:rPr>
          <w:kern w:val="0"/>
        </w:rPr>
        <w:t>Viktoria Kahui, Claire W Armstrong and Margrethe Aanesen, ‘Comparative Analysis of Rights of Nature (RoN) Case Studies Worldwide: Features of Emergence and Design’ (2024) 221 Ecological Economics 108193.</w:t>
      </w:r>
      <w:r>
        <w:fldChar w:fldCharType="end"/>
      </w:r>
    </w:p>
  </w:footnote>
  <w:footnote w:id="26">
    <w:p w14:paraId="6CC08313" w14:textId="13E097A1" w:rsidR="004B4765" w:rsidRDefault="004B4765">
      <w:pPr>
        <w:pStyle w:val="FootnoteText"/>
      </w:pPr>
      <w:r>
        <w:rPr>
          <w:rStyle w:val="FootnoteReference"/>
        </w:rPr>
        <w:footnoteRef/>
      </w:r>
      <w:r>
        <w:t xml:space="preserve"> </w:t>
      </w:r>
      <w:r>
        <w:fldChar w:fldCharType="begin"/>
      </w:r>
      <w:r w:rsidR="00ED4200">
        <w:instrText xml:space="preserve"> ADDIN ZOTERO_ITEM CSL_CITATION {"citationID":"otidTA8R","properties":{"formattedCitation":"Kauffman and Martin (n 15); Nicola Pain and Rachel Pepper, \\uc0\\u8216{}Can Personhood Protect The Environment? Affording Legal Rights to Nature\\uc0\\u8217{} (2021) 45 Fordham International Law Journal 315.","plainCitation":"Kauffman and Martin (n 15); Nicola Pain and Rachel Pepper, ‘Can Personhood Protect The Environment? Affording Legal Rights to Nature’ (2021) 45 Fordham International Law Journal 315.","noteIndex":26},"citationItems":[{"id":1833,"uris":["http://zotero.org/users/1464657/items/BI3BZ3AW"],"itemData":{"id":1833,"type":"book","abstract":"How Rights of Nature laws are transforming governance to address environmental crises through more ecologically sustainable approaches to development.With th...","language":"en-US","publisher":"MIT Press","title":"The Politics of Rights of Nature: Strategies for Building a More Sustainable Future","author":[{"family":"Kauffman","given":"Craig M."},{"family":"Martin","given":"Pamela L."}],"issued":{"date-parts":[["2021"]]}}},{"id":1835,"uris":["http://zotero.org/users/1464657/items/D7K4RRFF"],"itemData":{"id":1835,"type":"article-journal","abstract":"Can Personhood Protect The Environment? Affording Legal Rights to Nature  By: Nicola Pain &amp;amp; Rachel Pepper","container-title":"Fordham International Law Journal","issue":"2","language":"en-US","page":"315-378","title":"Can Personhood Protect The Environment? Affording Legal Rights to Nature","title-short":"Can Personhood Protect The Environment?","volume":"45","author":[{"family":"Pain","given":"Nicola"},{"family":"Pepper","given":"Rachel"}],"issued":{"date-parts":[["2021"]]}}}],"schema":"https://github.com/citation-style-language/schema/raw/master/csl-citation.json"} </w:instrText>
      </w:r>
      <w:r>
        <w:fldChar w:fldCharType="separate"/>
      </w:r>
      <w:r w:rsidR="00ED4200" w:rsidRPr="00ED4200">
        <w:rPr>
          <w:kern w:val="0"/>
        </w:rPr>
        <w:t>Kauffman and Martin (n 15); Nicola Pain and Rachel Pepper, ‘Can Personhood Protect The Environment? Affording Legal Rights to Nature’ (2021) 45 Fordham International Law Journal 315.</w:t>
      </w:r>
      <w:r>
        <w:fldChar w:fldCharType="end"/>
      </w:r>
    </w:p>
  </w:footnote>
  <w:footnote w:id="27">
    <w:p w14:paraId="451415D3" w14:textId="5708B744" w:rsidR="004B4765" w:rsidRDefault="004B4765">
      <w:pPr>
        <w:pStyle w:val="FootnoteText"/>
      </w:pPr>
      <w:r>
        <w:rPr>
          <w:rStyle w:val="FootnoteReference"/>
        </w:rPr>
        <w:footnoteRef/>
      </w:r>
      <w:r>
        <w:t xml:space="preserve"> </w:t>
      </w:r>
      <w:r>
        <w:fldChar w:fldCharType="begin"/>
      </w:r>
      <w:r w:rsidR="00ED4200">
        <w:instrText xml:space="preserve"> ADDIN ZOTERO_ITEM CSL_CITATION {"citationID":"Law6lcnd","properties":{"formattedCitation":"Craig M Kauffman and others, \\uc0\\u8216{}Eco Jurisprudence Tracker\\uc0\\u8217{} ({\\i{}Eco Jurisprudence Monitor}, 2022) &lt;https://ecojurisprudence.org&gt;.","plainCitation":"Craig M Kauffman and others, ‘Eco Jurisprudence Tracker’ (Eco Jurisprudence Monitor, 2022) &lt;https://ecojurisprudence.org&gt;.","noteIndex":27},"citationItems":[{"id":1831,"uris":["http://zotero.org/users/1464657/items/WDFSSWNH"],"itemData":{"id":1831,"type":"webpage","container-title":"Eco Jurisprudence Monitor","title":"Eco Jurisprudence Tracker","URL":"https://ecojurisprudence.org","author":[{"family":"Kauffman","given":"Craig M."},{"family":"Bajpai","given":"Shrishtee"},{"family":"Leonard","given":"Kelsey"},{"family":"Macpherson","given":"Elizabeth"},{"family":"Martin","given":"Pamela L."},{"family":"Pelizzon","given":"Alessandro"},{"family":"Putzer","given":"Alex"},{"family":"Sheehan","given":"Linda"}],"issued":{"date-parts":[["2022"]]}}}],"schema":"https://github.com/citation-style-language/schema/raw/master/csl-citation.json"} </w:instrText>
      </w:r>
      <w:r>
        <w:fldChar w:fldCharType="separate"/>
      </w:r>
      <w:r w:rsidR="00004077" w:rsidRPr="00004077">
        <w:rPr>
          <w:kern w:val="0"/>
        </w:rPr>
        <w:t>Craig M Kauffman and others, ‘Eco Jurisprudence Tracker’ (</w:t>
      </w:r>
      <w:r w:rsidR="00004077" w:rsidRPr="00004077">
        <w:rPr>
          <w:i/>
          <w:iCs/>
          <w:kern w:val="0"/>
        </w:rPr>
        <w:t>Eco Jurisprudence Monitor</w:t>
      </w:r>
      <w:r w:rsidR="00004077" w:rsidRPr="00004077">
        <w:rPr>
          <w:kern w:val="0"/>
        </w:rPr>
        <w:t>, 2022) &lt;https://ecojurisprudence.org&gt;.</w:t>
      </w:r>
      <w:r>
        <w:fldChar w:fldCharType="end"/>
      </w:r>
      <w:r>
        <w:t xml:space="preserve"> </w:t>
      </w:r>
      <w:r w:rsidR="001200F5">
        <w:t>Ratio</w:t>
      </w:r>
      <w:r>
        <w:t xml:space="preserve"> </w:t>
      </w:r>
      <w:r w:rsidR="001200F5">
        <w:t xml:space="preserve">determined by comparing number of approved </w:t>
      </w:r>
      <w:proofErr w:type="spellStart"/>
      <w:r w:rsidR="001200F5">
        <w:t>RoN</w:t>
      </w:r>
      <w:proofErr w:type="spellEnd"/>
      <w:r w:rsidR="001200F5">
        <w:t xml:space="preserve"> initiatives (N = 260) to number of approved initiatives explicitly framed in terms of legal personhood for nature (N = 47)</w:t>
      </w:r>
      <w:r>
        <w:t>.</w:t>
      </w:r>
    </w:p>
  </w:footnote>
  <w:footnote w:id="28">
    <w:p w14:paraId="45BC1648" w14:textId="7EFFFCC5" w:rsidR="004B4765" w:rsidRDefault="004B4765">
      <w:pPr>
        <w:pStyle w:val="FootnoteText"/>
      </w:pPr>
      <w:r>
        <w:rPr>
          <w:rStyle w:val="FootnoteReference"/>
        </w:rPr>
        <w:footnoteRef/>
      </w:r>
      <w:r>
        <w:t xml:space="preserve"> </w:t>
      </w:r>
      <w:r>
        <w:fldChar w:fldCharType="begin"/>
      </w:r>
      <w:r w:rsidR="00ED4200">
        <w:instrText xml:space="preserve"> ADDIN ZOTERO_ITEM CSL_CITATION {"citationID":"1kD726ea","properties":{"formattedCitation":"Jacinta Ruru, \\uc0\\u8216{}T\\uc0\\u363{}hoe-Crown Settlement\\uc0\\u8211{}Te Urewera Act 2014\\uc0\\u8217{} (2014) 14 M\\uc0\\u257{}ori Law Review 16.","plainCitation":"Jacinta Ruru, ‘Tūhoe-Crown Settlement–Te Urewera Act 2014’ (2014) 14 Māori Law Review 16.","noteIndex":28},"citationItems":[{"id":1847,"uris":["http://zotero.org/users/1464657/items/EHTDHDQB"],"itemData":{"id":1847,"type":"article-journal","container-title":"Māori Law Review","issue":"10","page":"16-21","title":"Tūhoe-Crown Settlement–Te Urewera Act 2014","volume":"14","author":[{"family":"Ruru","given":"Jacinta"}],"issued":{"date-parts":[["2014"]]}}}],"schema":"https://github.com/citation-style-language/schema/raw/master/csl-citation.json"} </w:instrText>
      </w:r>
      <w:r>
        <w:fldChar w:fldCharType="separate"/>
      </w:r>
      <w:r w:rsidRPr="004B4765">
        <w:rPr>
          <w:kern w:val="0"/>
        </w:rPr>
        <w:t>Jacinta Ruru, ‘Tūhoe-Crown Settlement–Te Urewera Act 2014’ (2014) 14 Māori Law Review 16.</w:t>
      </w:r>
      <w:r>
        <w:fldChar w:fldCharType="end"/>
      </w:r>
    </w:p>
  </w:footnote>
  <w:footnote w:id="29">
    <w:p w14:paraId="1F58DC2C" w14:textId="360658A2" w:rsidR="005963B5" w:rsidRDefault="005963B5">
      <w:pPr>
        <w:pStyle w:val="FootnoteText"/>
      </w:pPr>
      <w:r>
        <w:rPr>
          <w:rStyle w:val="FootnoteReference"/>
        </w:rPr>
        <w:footnoteRef/>
      </w:r>
      <w:r>
        <w:t xml:space="preserve"> New Zealand Parliamentary Council Office, </w:t>
      </w:r>
      <w:proofErr w:type="spellStart"/>
      <w:r>
        <w:t>Te</w:t>
      </w:r>
      <w:proofErr w:type="spellEnd"/>
      <w:r>
        <w:t xml:space="preserve"> </w:t>
      </w:r>
      <w:proofErr w:type="spellStart"/>
      <w:r>
        <w:t>Urewera</w:t>
      </w:r>
      <w:proofErr w:type="spellEnd"/>
      <w:r>
        <w:t xml:space="preserve"> Act 2014 (2014) &lt;</w:t>
      </w:r>
      <w:r w:rsidRPr="005963B5">
        <w:t>http://www.legislation.govt.nz/act/public/2014/0051/latest/whole.html</w:t>
      </w:r>
      <w:r>
        <w:t>&gt;</w:t>
      </w:r>
      <w:r w:rsidR="00004077">
        <w:t>.</w:t>
      </w:r>
    </w:p>
  </w:footnote>
  <w:footnote w:id="30">
    <w:p w14:paraId="6A503855" w14:textId="5953AD2B" w:rsidR="00F93848" w:rsidRDefault="00F93848">
      <w:pPr>
        <w:pStyle w:val="FootnoteText"/>
      </w:pPr>
      <w:r>
        <w:rPr>
          <w:rStyle w:val="FootnoteReference"/>
        </w:rPr>
        <w:footnoteRef/>
      </w:r>
      <w:r>
        <w:t xml:space="preserve"> Constitution of the Republic of Ecuador, Art. 71.</w:t>
      </w:r>
    </w:p>
  </w:footnote>
  <w:footnote w:id="31">
    <w:p w14:paraId="7D27D212" w14:textId="3414FABC" w:rsidR="00FB75AB" w:rsidRDefault="00FB75AB">
      <w:pPr>
        <w:pStyle w:val="FootnoteText"/>
      </w:pPr>
      <w:r>
        <w:rPr>
          <w:rStyle w:val="FootnoteReference"/>
        </w:rPr>
        <w:footnoteRef/>
      </w:r>
      <w:r>
        <w:t xml:space="preserve"> </w:t>
      </w:r>
      <w:r>
        <w:fldChar w:fldCharType="begin"/>
      </w:r>
      <w:r w:rsidR="00ED4200">
        <w:instrText xml:space="preserve"> ADDIN ZOTERO_ITEM CSL_CITATION {"citationID":"RsFgZtZf","properties":{"formattedCitation":"Tomasz Pietrzykowski, {\\i{}Personhood Beyond Humanism: Animals, Chimeras, Autonomous Agents and the Law} (Springer 2018).","plainCitation":"Tomasz Pietrzykowski, Personhood Beyond Humanism: Animals, Chimeras, Autonomous Agents and the Law (Springer 2018).","noteIndex":31},"citationItems":[{"id":144,"uris":["http://zotero.org/users/1464657/items/PE2Q8DLT"],"itemData":{"id":144,"type":"book","event-place":"Cham, Switzerland","publisher":"Springer","publisher-place":"Cham, Switzerland","title":"Personhood Beyond Humanism: Animals, Chimeras, Autonomous Agents and the Law","author":[{"family":"Pietrzykowski","given":"Tomasz"}],"issued":{"date-parts":[["2018"]]}}}],"schema":"https://github.com/citation-style-language/schema/raw/master/csl-citation.json"} </w:instrText>
      </w:r>
      <w:r>
        <w:fldChar w:fldCharType="separate"/>
      </w:r>
      <w:r w:rsidRPr="00FB75AB">
        <w:rPr>
          <w:kern w:val="0"/>
        </w:rPr>
        <w:t xml:space="preserve">Tomasz Pietrzykowski, </w:t>
      </w:r>
      <w:r w:rsidRPr="00FB75AB">
        <w:rPr>
          <w:i/>
          <w:iCs/>
          <w:kern w:val="0"/>
        </w:rPr>
        <w:t>Personhood Beyond Humanism: Animals, Chimeras, Autonomous Agents and the Law</w:t>
      </w:r>
      <w:r w:rsidRPr="00FB75AB">
        <w:rPr>
          <w:kern w:val="0"/>
        </w:rPr>
        <w:t xml:space="preserve"> (Springer 2018).</w:t>
      </w:r>
      <w:r>
        <w:fldChar w:fldCharType="end"/>
      </w:r>
    </w:p>
  </w:footnote>
  <w:footnote w:id="32">
    <w:p w14:paraId="763DDB27" w14:textId="3B8B45E1" w:rsidR="00FB75AB" w:rsidRDefault="00FB75AB">
      <w:pPr>
        <w:pStyle w:val="FootnoteText"/>
      </w:pPr>
      <w:r>
        <w:rPr>
          <w:rStyle w:val="FootnoteReference"/>
        </w:rPr>
        <w:footnoteRef/>
      </w:r>
      <w:r>
        <w:t xml:space="preserve"> </w:t>
      </w:r>
      <w:r>
        <w:fldChar w:fldCharType="begin"/>
      </w:r>
      <w:r w:rsidR="00ED4200">
        <w:instrText xml:space="preserve"> ADDIN ZOTERO_ITEM CSL_CITATION {"citationID":"xpbzcgpS","properties":{"formattedCitation":"Ngaire Naffine, \\uc0\\u8216{}Who Are Law\\uc0\\u8217{}s Persons? From Cheshire Cats to Responsible Subjects\\uc0\\u8217{} (2003) 66 The Modern Law Review 346, 350.","plainCitation":"Ngaire Naffine, ‘Who Are Law’s Persons? From Cheshire Cats to Responsible Subjects’ (2003) 66 The Modern Law Review 346, 350.","noteIndex":32},"citationItems":[{"id":1854,"uris":["http://zotero.org/users/1464657/items/A2IWSUWB"],"itemData":{"id":1854,"type":"article-journal","abstract":"What is it to be a legal person? A review of the jurisprudence of persons reveals considerable confusion about this central legal question, as well as deep intellectual divisions. To certain jurists, law's person should and does approximate a metaphysical person. Depending on the metaphysics of the jurist, the legal person is thus variously defined by his uniquely human nature, by his possession of a soul, or by his capacity for reason, and therefore his moral and legal responsibility. To other jurists, law's person is not a metaphysical person but rather a pure legal abstraction; he is no more than a formal, abstract, but nonetheless highly convenient device of law. This paper endeavours to bring some order and clarity to these scholarly debates about the nature of legal personality. It also considers their implications for feminist legal theorists, with their enduring interest in the character of law's subject.","container-title":"The Modern Law Review","DOI":"10.1111/1468-2230.6603002","ISSN":"1468-2230","issue":"3","language":"en","note":"_eprint: https://onlinelibrary.wiley.com/doi/pdf/10.1111/1468-2230.6603002","page":"346-367","source":"Wiley Online Library","title":"Who are Law's Persons? From Cheshire Cats to Responsible Subjects","title-short":"Who are Law's Persons?","volume":"66","author":[{"family":"Naffine","given":"Ngaire"}],"issued":{"date-parts":[["2003"]]}},"locator":"350","label":"page"}],"schema":"https://github.com/citation-style-language/schema/raw/master/csl-citation.json"} </w:instrText>
      </w:r>
      <w:r>
        <w:fldChar w:fldCharType="separate"/>
      </w:r>
      <w:r w:rsidRPr="00FB75AB">
        <w:rPr>
          <w:kern w:val="0"/>
        </w:rPr>
        <w:t>Ngaire Naffine, ‘Who Are Law’s Persons? From Cheshire Cats to Responsible Subjects’ (2003) 66 The Modern Law Review 346, 350.</w:t>
      </w:r>
      <w:r>
        <w:fldChar w:fldCharType="end"/>
      </w:r>
    </w:p>
  </w:footnote>
  <w:footnote w:id="33">
    <w:p w14:paraId="798BDB9C" w14:textId="13D02CB6" w:rsidR="00FB75AB" w:rsidRDefault="00FB75AB">
      <w:pPr>
        <w:pStyle w:val="FootnoteText"/>
      </w:pPr>
      <w:r>
        <w:rPr>
          <w:rStyle w:val="FootnoteReference"/>
        </w:rPr>
        <w:footnoteRef/>
      </w:r>
      <w:r>
        <w:t xml:space="preserve"> </w:t>
      </w:r>
      <w:r>
        <w:fldChar w:fldCharType="begin"/>
      </w:r>
      <w:r w:rsidR="00ED4200">
        <w:instrText xml:space="preserve"> ADDIN ZOTERO_ITEM CSL_CITATION {"citationID":"2CnPgVYQ","properties":{"formattedCitation":"David Gindis, \\uc0\\u8216{}Legal Personhood and the Firm: Avoiding Anthropomorphism and Equivocation\\uc0\\u8217{} (2016) 12 Journal of Institutional Economics 499, 509.","plainCitation":"David Gindis, ‘Legal Personhood and the Firm: Avoiding Anthropomorphism and Equivocation’ (2016) 12 Journal of Institutional Economics 499, 509.","noteIndex":33},"citationItems":[{"id":1830,"uris":["http://zotero.org/users/1464657/items/LXLTYY4L"],"itemData":{"id":1830,"type":"article-journal","abstract":"From the legal point of view, ‘person’ is not co-extensive with ‘human being’. Nor is it synonymous with ‘rational being’ or ‘responsible subject’. Much of the confusion surrounding the issue of the firm's legal personality is due to the tendency to address the matter with only these, all too often conflated, definitions of personhood in mind. On the contrary, when the term ‘person’ is defined in line with its original meaning as ‘mask’ worn in the legal drama, it is easy to see that it is only the capacity to attract legal relations that defines the legal person. This definition, that avoids the undesirable emotional associations and equivocations that often plague the debate, is important for a legally grounded view of the firm.","container-title":"Journal of Institutional Economics","DOI":"10.1017/S1744137415000235","ISSN":"1744-1374, 1744-1382","issue":"3","language":"en","page":"499-513","source":"Cambridge University Press","title":"Legal Personhood and the Firm: Avoiding Anthropomorphism and Equivocation","title-short":"Legal personhood and the firm","volume":"12","author":[{"family":"Gindis","given":"David"}],"issued":{"date-parts":[["2016"]]}},"locator":"509","label":"page"}],"schema":"https://github.com/citation-style-language/schema/raw/master/csl-citation.json"} </w:instrText>
      </w:r>
      <w:r>
        <w:fldChar w:fldCharType="separate"/>
      </w:r>
      <w:r w:rsidRPr="00FB75AB">
        <w:rPr>
          <w:kern w:val="0"/>
        </w:rPr>
        <w:t>David Gindis, ‘Legal Personhood and the Firm: Avoiding Anthropomorphism and Equivocation’ (2016) 12 Journal of Institutional Economics 499, 509.</w:t>
      </w:r>
      <w:r>
        <w:fldChar w:fldCharType="end"/>
      </w:r>
    </w:p>
  </w:footnote>
  <w:footnote w:id="34">
    <w:p w14:paraId="01C92C27" w14:textId="6FF0FCF6" w:rsidR="00FB75AB" w:rsidRDefault="00FB75AB">
      <w:pPr>
        <w:pStyle w:val="FootnoteText"/>
      </w:pPr>
      <w:r>
        <w:rPr>
          <w:rStyle w:val="FootnoteReference"/>
        </w:rPr>
        <w:footnoteRef/>
      </w:r>
      <w:r>
        <w:t xml:space="preserve"> </w:t>
      </w:r>
      <w:r>
        <w:fldChar w:fldCharType="begin"/>
      </w:r>
      <w:r w:rsidR="00ED4200">
        <w:instrText xml:space="preserve"> ADDIN ZOTERO_ITEM CSL_CITATION {"citationID":"uyiyQp3b","properties":{"formattedCitation":"Anna Grear, \\uc0\\u8216{}Deconstructing Anthropos: A Critical Legal Reflection on \\uc0\\u8220{}Anthropocentric\\uc0\\u8221{} Law and Anthropocene \\uc0\\u8220{}Humanity\\uc0\\u8221{}\\uc0\\u8217{} (2015) 26 Law and Critique 225.","plainCitation":"Anna Grear, ‘Deconstructing Anthropos: A Critical Legal Reflection on “Anthropocentric” Law and Anthropocene “Humanity”’ (2015) 26 Law and Critique 225.","noteIndex":34},"citationItems":[{"id":1841,"uris":["http://zotero.org/users/1464657/items/LIQY6NTQ"],"itemData":{"id":1841,"type":"article-journal","abstract":"The present reflection draws upon a tradition of energetic, world-facing critical legal scholarship to interrogate the anthropos assumed by the terminology of ‘anthropocentrism’ and of the ‘Anthropocene’. The article concludes that any ethically responsible future engagement with ‘anthropocentrism’ and/or with the ‘Anthropocene’ must explicitly engage with the oppressive hierarchical structure of the anthropos itself—and should directly address its apotheosis in the corporate juridical subject that dominates the entire globalised order of the Anthropocene age.","container-title":"Law and Critique","DOI":"10.1007/s10978-015-9161-0","issue":"3","page":"225-249","title":"Deconstructing Anthropos: A Critical Legal Reflection on ‘Anthropocentric’ Law and Anthropocene ‘Humanity’","volume":"26","author":[{"family":"Grear","given":"Anna"}],"issued":{"date-parts":[["2015"]]}}}],"schema":"https://github.com/citation-style-language/schema/raw/master/csl-citation.json"} </w:instrText>
      </w:r>
      <w:r>
        <w:fldChar w:fldCharType="separate"/>
      </w:r>
      <w:r w:rsidR="0037685E" w:rsidRPr="0037685E">
        <w:rPr>
          <w:kern w:val="0"/>
        </w:rPr>
        <w:t>Anna Grear, ‘Deconstructing Anthropos: A Critical Legal Reflection on “Anthropocentric” Law and Anthropocene “Humanity”’ (2015) 26 Law and Critique 225.</w:t>
      </w:r>
      <w:r>
        <w:fldChar w:fldCharType="end"/>
      </w:r>
    </w:p>
  </w:footnote>
  <w:footnote w:id="35">
    <w:p w14:paraId="4DB15546" w14:textId="77AE4279" w:rsidR="00191282" w:rsidRDefault="00191282">
      <w:pPr>
        <w:pStyle w:val="FootnoteText"/>
      </w:pPr>
      <w:r>
        <w:rPr>
          <w:rStyle w:val="FootnoteReference"/>
        </w:rPr>
        <w:footnoteRef/>
      </w:r>
      <w:r>
        <w:t xml:space="preserve"> </w:t>
      </w:r>
      <w:r>
        <w:fldChar w:fldCharType="begin"/>
      </w:r>
      <w:r w:rsidR="00ED4200">
        <w:instrText xml:space="preserve"> ADDIN ZOTERO_ITEM CSL_CITATION {"citationID":"DrrHM7Ec","properties":{"formattedCitation":"Jiahong Chen and Paul Burgess, \\uc0\\u8216{}The Boundaries of Legal Personhood: How Spontaneous Intelligence Can Problematise Differences between Humans, Artificial Intelligence,Companies and Animals\\uc0\\u8217{} (2019) 27 Artificial Intelligence and Law 73; Kurki (n 12).","plainCitation":"Jiahong Chen and Paul Burgess, ‘The Boundaries of Legal Personhood: How Spontaneous Intelligence Can Problematise Differences between Humans, Artificial Intelligence,Companies and Animals’ (2019) 27 Artificial Intelligence and Law 73; Kurki (n 12).","noteIndex":35},"citationItems":[{"id":1829,"uris":["http://zotero.org/users/1464657/items/RYQGU5V3"],"itemData":{"id":1829,"type":"article-journal","abstract":"In this paper, we identify the way in which various forms of legal personhood can be differentiated from one another by comparing these entities with a—not too farfetched—hypothetical situation in which intelligence spontaneously evolves (i.e. without human design) within the internet: spontaneous intelligence (“SI”). In these terms, we consider the challenges that may arise where SI as an entity: has no owner, no designer, and no controller; has evolved into existence as a non-human created intelligence; is autonomous; has no physical form; and, although it exists around the world, exists in no particular jurisdiction. Based on this refined notion of SI, we consider issues related to the recognition of such an entity’s legal personhood. By briefly exploring the attribution of legal personality to various entities—including, humans, corporations, artificial intelligence (“AI”) (in various forms) and higher forms of animal life—we differentiate SI from these other forms of intelligence whilst illustrating it shares most characteristics with human intelligence and not, as may intuitively be thought, with various forms of AI. After critically evaluating the classification of these various forms of intelligence, we briefly suggest some ramifications of these differences and suggest that the approach adopted may assist in drawing more effective boundaries between the entities that are already recognised as legal persons, as well as between sub-categories of entities, such as various forms of AI.","container-title":"Artificial Intelligence and Law","DOI":"10.1007/s10506-018-9229-x","ISSN":"1572-8382","issue":"1","journalAbbreviation":"Artif Intell Law","language":"en","page":"73-92","source":"Springer Link","title":"The Boundaries of Legal Personhood: How Spontaneous Intelligence can Problematise Differences between Humans, Artificial Intelligence,Companies and Animals","title-short":"The boundaries of legal personhood","volume":"27","author":[{"family":"Chen","given":"Jiahong"},{"family":"Burgess","given":"Paul"}],"issued":{"date-parts":[["2019"]]}}},{"id":1828,"uris":["http://zotero.org/users/1464657/items/6RZJGZQ6"],"itemData":{"id":1828,"type":"article-journal","abstract":"The Rights of Nature movement has recently achieved significant successes in using legal personhood as a tool for environmental protection. Perhaps most famously, the Whanganui River in Aotearoa New Zealand was accorded legal personhood in 2017. These kinds of development have attracted plenty of scholarly interest, but few have scrutinized a foundational underlying question: Can natural areas, such as rivers, or other non-sentient natural entities actually be legal persons?\nThe case of the Whanganui River is an example of the direct legal personhood model: it purports to grant legal rights to the river directly. Some other jurisdictions have set up legal persons to administer rivers, without declaring the rivers themselves to be legal persons: the indirect legal personhood model. This article offers legal-philosophical arguments for why legal personhood cannot be attributed to rivers directly.\nNormally, legal persons can hold claim-rights and be legally wronged. Some legal persons, such as human adults, can also be held legally responsible and exercise legal competences by entering into contracts. Natural entities cannot do any of these things. Hence, they cannot be legal persons directly; rather, their putative direct legal personhood will collapse into indirect legal personhood. Hence, treating natural entities as direct legal persons amounts only to a legal fiction. Such fictions may be justified for symbolic reasons. However, if environmental protection requires setting up a legal person to protect a natural entity, such protection in most cases can be realized without claiming that the natural entity itself would have become a legal person.","container-title":"Transnational Environmental Law","DOI":"10.1017/S2047102522000358","ISSN":"2047-1025, 2047-1033","issue":"3","language":"en","page":"525-552","source":"Cambridge University Press","title":"Can Nature Hold Rights? It's Not as Easy as You Think","title-short":"Can Nature Hold Rights?","volume":"11","author":[{"family":"Kurki","given":"Visa A. J."}],"issued":{"date-parts":[["2022"]]}}}],"schema":"https://github.com/citation-style-language/schema/raw/master/csl-citation.json"} </w:instrText>
      </w:r>
      <w:r>
        <w:fldChar w:fldCharType="separate"/>
      </w:r>
      <w:r w:rsidR="00ED4200" w:rsidRPr="00ED4200">
        <w:rPr>
          <w:kern w:val="0"/>
        </w:rPr>
        <w:t>Jiahong Chen and Paul Burgess, ‘The Boundaries of Legal Personhood: How Spontaneous Intelligence Can Problematise Differences between Humans, Artificial Intelligence,Companies and Animals’ (2019) 27 Artificial Intelligence and Law 73; Kurki (n 12).</w:t>
      </w:r>
      <w:r>
        <w:fldChar w:fldCharType="end"/>
      </w:r>
    </w:p>
  </w:footnote>
  <w:footnote w:id="36">
    <w:p w14:paraId="4A454C35" w14:textId="046BA338" w:rsidR="00BD7C79" w:rsidRDefault="00BD7C79">
      <w:pPr>
        <w:pStyle w:val="FootnoteText"/>
      </w:pPr>
      <w:r>
        <w:rPr>
          <w:rStyle w:val="FootnoteReference"/>
        </w:rPr>
        <w:footnoteRef/>
      </w:r>
      <w:r>
        <w:t xml:space="preserve"> </w:t>
      </w:r>
      <w:r>
        <w:fldChar w:fldCharType="begin"/>
      </w:r>
      <w:r w:rsidR="00ED4200">
        <w:instrText xml:space="preserve"> ADDIN ZOTERO_ITEM CSL_CITATION {"citationID":"c7egK43Y","properties":{"formattedCitation":"Kauffman and others (n 27).","plainCitation":"Kauffman and others (n 27).","noteIndex":36},"citationItems":[{"id":1831,"uris":["http://zotero.org/users/1464657/items/WDFSSWNH"],"itemData":{"id":1831,"type":"webpage","container-title":"Eco Jurisprudence Monitor","title":"Eco Jurisprudence Tracker","URL":"https://ecojurisprudence.org","author":[{"family":"Kauffman","given":"Craig M."},{"family":"Bajpai","given":"Shrishtee"},{"family":"Leonard","given":"Kelsey"},{"family":"Macpherson","given":"Elizabeth"},{"family":"Martin","given":"Pamela L."},{"family":"Pelizzon","given":"Alessandro"},{"family":"Putzer","given":"Alex"},{"family":"Sheehan","given":"Linda"}],"issued":{"date-parts":[["2022"]]}}}],"schema":"https://github.com/citation-style-language/schema/raw/master/csl-citation.json"} </w:instrText>
      </w:r>
      <w:r>
        <w:fldChar w:fldCharType="separate"/>
      </w:r>
      <w:r w:rsidR="00ED4200">
        <w:rPr>
          <w:noProof/>
        </w:rPr>
        <w:t>Kauffman and others (n 27).</w:t>
      </w:r>
      <w:r>
        <w:fldChar w:fldCharType="end"/>
      </w:r>
      <w:r>
        <w:t xml:space="preserve"> </w:t>
      </w:r>
      <w:r w:rsidR="00AE43DF">
        <w:t>Percentages determined by comparing the number of approved initiatives to the total number of approved, rejected, and overturned efforts</w:t>
      </w:r>
      <w:r>
        <w:t>.</w:t>
      </w:r>
      <w:r w:rsidR="00AE43DF">
        <w:t xml:space="preserve"> For legal personhood, there are 47 approved initiatives to 12 rejected and 3 overturned, while for legal rights of nature there are 260 approved initiatives to 55 rejected and 1 overturned. Numbers based on the latest available data.</w:t>
      </w:r>
    </w:p>
  </w:footnote>
  <w:footnote w:id="37">
    <w:p w14:paraId="50E98723" w14:textId="6E2ABBA1" w:rsidR="00E116C2" w:rsidRDefault="00E116C2">
      <w:pPr>
        <w:pStyle w:val="FootnoteText"/>
      </w:pPr>
      <w:r>
        <w:rPr>
          <w:rStyle w:val="FootnoteReference"/>
        </w:rPr>
        <w:footnoteRef/>
      </w:r>
      <w:r>
        <w:t xml:space="preserve"> </w:t>
      </w:r>
      <w:r>
        <w:fldChar w:fldCharType="begin"/>
      </w:r>
      <w:r w:rsidR="00ED4200">
        <w:instrText xml:space="preserve"> ADDIN ZOTERO_ITEM CSL_CITATION {"citationID":"AnxySdlx","properties":{"formattedCitation":"Ben Mylius, \\uc0\\u8216{}Three Types of Anthropocentrism\\uc0\\u8217{} (2018) 15 Environmental Philosophy 159.","plainCitation":"Ben Mylius, ‘Three Types of Anthropocentrism’ (2018) 15 Environmental Philosophy 159.","noteIndex":37},"citationItems":[{"id":1827,"uris":["http://zotero.org/users/1464657/items/WZIX8PLE"],"itemData":{"id":1827,"type":"article-journal","abstract":"This paper develops a language for distinguishing more rigorously between various senses of the term ‘anthropocentrism.’ Specifically, it differentiates between: 1. Perceptual anthropocentrism (which characterizes paradigms informed by sense-data from human sensory organs); 2. Descriptive anthropocentrism (which characterizes paradigms that begin from, center upon, or are ordered around Homo sapiens / ‘the human’) 3. Normative anthropocentrism (which characterizes paradigms that constrain inquiry in a way that somehow privileges Homo sapiens / ‘the human’ [passive normative anthropocentrism]; and which characterizes paradigms that make assumptions or assertions about the superiority of Homo sapiens, its capacities, the primacy of its values, its position in the universe, and/or make prescriptions based on these assertions and assumptions [active normative anthropocentrism]).","container-title":"Environmental Philosophy","DOI":"10.5840/envirophil20184564","ISSN":"1718-0198","issue":"2","note":"publisher: Philosophy Documentation Center","page":"159-194","source":"JSTOR","title":"Three Types of Anthropocentrism","volume":"15","author":[{"family":"Mylius","given":"Ben"}],"issued":{"date-parts":[["2018"]]}}}],"schema":"https://github.com/citation-style-language/schema/raw/master/csl-citation.json"} </w:instrText>
      </w:r>
      <w:r>
        <w:fldChar w:fldCharType="separate"/>
      </w:r>
      <w:r w:rsidRPr="00E116C2">
        <w:rPr>
          <w:kern w:val="0"/>
        </w:rPr>
        <w:t>Ben Mylius, ‘Three Types of Anthropocentrism’ (2018) 15 Environmental Philosophy 159.</w:t>
      </w:r>
      <w:r>
        <w:fldChar w:fldCharType="end"/>
      </w:r>
    </w:p>
  </w:footnote>
  <w:footnote w:id="38">
    <w:p w14:paraId="3A4E234A" w14:textId="56614CD4" w:rsidR="00E116C2" w:rsidRDefault="00E116C2">
      <w:pPr>
        <w:pStyle w:val="FootnoteText"/>
      </w:pPr>
      <w:r>
        <w:rPr>
          <w:rStyle w:val="FootnoteReference"/>
        </w:rPr>
        <w:footnoteRef/>
      </w:r>
      <w:r>
        <w:t xml:space="preserve"> </w:t>
      </w:r>
      <w:r>
        <w:fldChar w:fldCharType="begin"/>
      </w:r>
      <w:r w:rsidR="00ED4200">
        <w:instrText xml:space="preserve"> ADDIN ZOTERO_ITEM CSL_CITATION {"citationID":"h3gQbBqq","properties":{"formattedCitation":"Kahui, Armstrong and Aanesen (n 25).","plainCitation":"Kahui, Armstrong and Aanesen (n 25).","noteIndex":38},"citationItems":[{"id":1826,"uris":["http://zotero.org/users/1464657/items/K2ZX2NVP"],"itemData":{"id":1826,"type":"article-journal","abstract":"We provide a descriptive comparative analysis of features related to emergence and design among 14 Rights of Nature (RoN) case studies worldwide. For analysis, we develop a schematic roadmap in which we categorise RoN into case studies with public guardianship and ones with appointed guardians (termed Environmental Legal Personhoods (ELPs) with further sub-categories of indirect, direct and living ELPs). Our findings suggest that RoN case studies emerged under similar circumstances where existing governance structures had been unable to protect natural environments from continued economic (urban, agricultural and industrial) activity by multiple economic actors. The strong role of local community and Indigenous Peoples in advocacy for RoN point to a divide between in situ communities and external economic agents, allowing for eco-centric value systems to emerge in juxtaposition to existing governance structures. We find that the design of RoN, however, varies in geographical entity, legal framework, legal status and guardianship. Poorly defined liability of guardians and economic agents have led to the overturning of two case studies, which stands in contrast to well-defined rights and liabilities in other case studies, suggesting that attention to liability may be an important building block for the effectiveness of RoN to protect biodiversity.","container-title":"Ecological Economics","DOI":"10.1016/j.ecolecon.2024.108193","ISSN":"0921-8009","journalAbbreviation":"Ecological Economics","page":"108193","source":"ScienceDirect","title":"Comparative Analysis of Rights of Nature (RoN) Case Studies Worldwide: Features of Emergence and Design","title-short":"Comparative analysis of Rights of Nature (RoN) case studies worldwide","volume":"221","author":[{"family":"Kahui","given":"Viktoria"},{"family":"Armstrong","given":"Claire W."},{"family":"Aanesen","given":"Margrethe"}],"issued":{"date-parts":[["2024"]]}}}],"schema":"https://github.com/citation-style-language/schema/raw/master/csl-citation.json"} </w:instrText>
      </w:r>
      <w:r>
        <w:fldChar w:fldCharType="separate"/>
      </w:r>
      <w:r w:rsidR="00ED4200">
        <w:rPr>
          <w:noProof/>
        </w:rPr>
        <w:t>Kahui, Armstrong and Aanesen (n 25).</w:t>
      </w:r>
      <w:r>
        <w:fldChar w:fldCharType="end"/>
      </w:r>
    </w:p>
  </w:footnote>
  <w:footnote w:id="39">
    <w:p w14:paraId="4263743A" w14:textId="0D45FA6E" w:rsidR="00B10276" w:rsidRDefault="00B10276">
      <w:pPr>
        <w:pStyle w:val="FootnoteText"/>
      </w:pPr>
      <w:r>
        <w:rPr>
          <w:rStyle w:val="FootnoteReference"/>
        </w:rPr>
        <w:footnoteRef/>
      </w:r>
      <w:r>
        <w:t xml:space="preserve"> Ecuador Const. (n 29).</w:t>
      </w:r>
    </w:p>
  </w:footnote>
  <w:footnote w:id="40">
    <w:p w14:paraId="5A9D9EC3" w14:textId="6EDDC5AB" w:rsidR="009353E9" w:rsidRDefault="009353E9">
      <w:pPr>
        <w:pStyle w:val="FootnoteText"/>
      </w:pPr>
      <w:r>
        <w:rPr>
          <w:rStyle w:val="FootnoteReference"/>
        </w:rPr>
        <w:footnoteRef/>
      </w:r>
      <w:r>
        <w:t xml:space="preserve"> </w:t>
      </w:r>
      <w:r>
        <w:fldChar w:fldCharType="begin"/>
      </w:r>
      <w:r w:rsidR="00ED4200">
        <w:instrText xml:space="preserve"> ADDIN ZOTERO_ITEM CSL_CITATION {"citationID":"hjNLeHfl","properties":{"formattedCitation":"Villavicencio-Calzadilla and Kotz\\uc0\\u233{} (n 13) 61.","plainCitation":"Villavicencio-Calzadilla and Kotzé (n 13) 61.","noteIndex":40},"citationItems":[{"id":1832,"uris":["http://zotero.org/users/1464657/items/HTFN7M9E"],"itemData":{"id":1832,"type":"chapter","abstract":"Abstract In this chapter we argue that our existing suite of anthropocentric law and governance arrangements that are aimed at environmental protection, are not sufficiently geared towards protecting the non-human world. We show how these laws actively exclude vulnerable non-humans in the governance processes that directly affect their health and well-being. Non-human interests must be more fully present and represented in our anthropocentric socio-regulatory institutions, and we argue that this could be accomplished through the rights of nature paradigm. We firstly reflect on the new socio-ecological reality of the Anthropocene, its deepening socio-ecological crisis, and its multiple patterns of differentially distributed vulnerability. We then interrogate why a rights of nature approach could be a viable option to extend participation opportunities to the non-human world. The next part analyses several examples from Latin American countries where rights of nature provisions are being used to facilitate participation of the non-human world. Our discussion shows that participation is mostly facilitated through guardianship and representation measures, which hold out considerable promise, despite limitations and pitfalls.","container-title":"Sustainability through Participation? Perspectives from National, European and International Law","language":"en","note":"section: Sustainability through Participation?\nDOI: 10.1163/9789004509382_004","page":"51-72","publisher":"Brill","source":"brill.com","title":"Re-imagining Participation in the Anthropocene: The Potential of the Rights of Nature Paradigm","title-short":"Chapter 2 Re-imagining Participation in the Anthropocene","author":[{"family":"Villavicencio-Calzadilla","given":"Paola"},{"family":"Kotzé","given":"Louis"}],"editor":[{"family":"Peters","given":"Birgit"},{"family":"Lohse","given":"Eva Julia"}],"issued":{"date-parts":[["2023"]]}},"locator":"61","label":"page"}],"schema":"https://github.com/citation-style-language/schema/raw/master/csl-citation.json"} </w:instrText>
      </w:r>
      <w:r>
        <w:fldChar w:fldCharType="separate"/>
      </w:r>
      <w:r w:rsidR="00ED4200" w:rsidRPr="00ED4200">
        <w:rPr>
          <w:kern w:val="0"/>
        </w:rPr>
        <w:t>Villavicencio-Calzadilla and Kotzé (n 13) 61.</w:t>
      </w:r>
      <w:r>
        <w:fldChar w:fldCharType="end"/>
      </w:r>
    </w:p>
  </w:footnote>
  <w:footnote w:id="41">
    <w:p w14:paraId="7B198832" w14:textId="258D746B" w:rsidR="002424C6" w:rsidRDefault="002424C6">
      <w:pPr>
        <w:pStyle w:val="FootnoteText"/>
      </w:pPr>
      <w:r>
        <w:rPr>
          <w:rStyle w:val="FootnoteReference"/>
        </w:rPr>
        <w:footnoteRef/>
      </w:r>
      <w:r>
        <w:t xml:space="preserve"> </w:t>
      </w:r>
      <w:r>
        <w:fldChar w:fldCharType="begin"/>
      </w:r>
      <w:r w:rsidR="00ED4200">
        <w:instrText xml:space="preserve"> ADDIN ZOTERO_ITEM CSL_CITATION {"citationID":"FU3APlbm","properties":{"formattedCitation":"Mark B Brown, \\uc0\\u8216{}Speaking for Nature: Hobbes, Latour, and the Democratic Representation of Nonhumans\\uc0\\u8217{} (2018) 31 Science &amp; Technology Studies 31, 44.","plainCitation":"Mark B Brown, ‘Speaking for Nature: Hobbes, Latour, and the Democratic Representation of Nonhumans’ (2018) 31 Science &amp; Technology Studies 31, 44.","noteIndex":41},"citationItems":[{"id":1825,"uris":["http://zotero.org/users/1464657/items/P556AK2Q"],"itemData":{"id":1825,"type":"article-journal","abstract":"Environmental theorists have often considered how best to represent nature's interests. This essay develops an approach to the democratic representation of nonhuman nature by examining the relation between Bruno Latour’s account of representation and that of Thomas Hobbes. Both Hobbes and Latour develop a constructivist theory of representation as an ongoing process that partly constitutes what it represents. In this respect, Latour’s account complements the “constructivist turn” in recent democratic theory, and it suggests a promising avenue for representing nonhumans. However, Latour also follows Hobbes in viewing representation as a matter of unifying and replacing the represented. This aspect of Latour’s approach obscures certain key features of representative democracy in pluralist societies. The last part of the essay takes up an aspect of Hobbes’s theory neglected by Latour, the notion of “representation by fiction,” which suggests a way of representing nonhumans that offers more support for representative democracy than other approaches","container-title":"Science &amp; Technology Studies","DOI":"10.23987/sts.60525","ISSN":"2243-4690","issue":"1","language":"en","license":"Copyright (c) 2017 Mark B. Brown","note":"number: 1","page":"31-51","source":"sciencetechnologystudies.journal.fi","title":"Speaking for Nature: Hobbes, Latour, and the Democratic Representation of Nonhumans","title-short":"Speaking for Nature","volume":"31","author":[{"family":"Brown","given":"Mark B."}],"issued":{"date-parts":[["2018"]]}},"locator":"44","label":"page"}],"schema":"https://github.com/citation-style-language/schema/raw/master/csl-citation.json"} </w:instrText>
      </w:r>
      <w:r>
        <w:fldChar w:fldCharType="separate"/>
      </w:r>
      <w:r w:rsidRPr="002424C6">
        <w:rPr>
          <w:kern w:val="0"/>
        </w:rPr>
        <w:t>Mark B Brown, ‘Speaking for Nature: Hobbes, Latour, and the Democratic Representation of Nonhumans’ (2018) 31 Science &amp; Technology Studies 31, 44.</w:t>
      </w:r>
      <w:r>
        <w:fldChar w:fldCharType="end"/>
      </w:r>
    </w:p>
  </w:footnote>
  <w:footnote w:id="42">
    <w:p w14:paraId="0BC7E578" w14:textId="39BABE43" w:rsidR="002424C6" w:rsidRDefault="002424C6">
      <w:pPr>
        <w:pStyle w:val="FootnoteText"/>
      </w:pPr>
      <w:r>
        <w:rPr>
          <w:rStyle w:val="FootnoteReference"/>
        </w:rPr>
        <w:footnoteRef/>
      </w:r>
      <w:r>
        <w:t xml:space="preserve"> </w:t>
      </w:r>
      <w:r>
        <w:fldChar w:fldCharType="begin"/>
      </w:r>
      <w:r w:rsidR="00ED4200">
        <w:instrText xml:space="preserve"> ADDIN ZOTERO_ITEM CSL_CITATION {"citationID":"yIjxYaMD","properties":{"formattedCitation":"ibid.","plainCitation":"ibid.","noteIndex":42},"citationItems":[{"id":1825,"uris":["http://zotero.org/users/1464657/items/P556AK2Q"],"itemData":{"id":1825,"type":"article-journal","abstract":"Environmental theorists have often considered how best to represent nature's interests. This essay develops an approach to the democratic representation of nonhuman nature by examining the relation between Bruno Latour’s account of representation and that of Thomas Hobbes. Both Hobbes and Latour develop a constructivist theory of representation as an ongoing process that partly constitutes what it represents. In this respect, Latour’s account complements the “constructivist turn” in recent democratic theory, and it suggests a promising avenue for representing nonhumans. However, Latour also follows Hobbes in viewing representation as a matter of unifying and replacing the represented. This aspect of Latour’s approach obscures certain key features of representative democracy in pluralist societies. The last part of the essay takes up an aspect of Hobbes’s theory neglected by Latour, the notion of “representation by fiction,” which suggests a way of representing nonhumans that offers more support for representative democracy than other approaches","container-title":"Science &amp; Technology Studies","DOI":"10.23987/sts.60525","ISSN":"2243-4690","issue":"1","language":"en","license":"Copyright (c) 2017 Mark B. Brown","note":"number: 1","page":"31-51","source":"sciencetechnologystudies.journal.fi","title":"Speaking for Nature: Hobbes, Latour, and the Democratic Representation of Nonhumans","title-short":"Speaking for Nature","volume":"31","author":[{"family":"Brown","given":"Mark B."}],"issued":{"date-parts":[["2018"]]}},"locator":"44","label":"page"}],"schema":"https://github.com/citation-style-language/schema/raw/master/csl-citation.json"} </w:instrText>
      </w:r>
      <w:r>
        <w:fldChar w:fldCharType="separate"/>
      </w:r>
      <w:r>
        <w:rPr>
          <w:noProof/>
        </w:rPr>
        <w:t>ibid.</w:t>
      </w:r>
      <w:r>
        <w:fldChar w:fldCharType="end"/>
      </w:r>
    </w:p>
  </w:footnote>
  <w:footnote w:id="43">
    <w:p w14:paraId="0A529F56" w14:textId="258E2382" w:rsidR="00245C50" w:rsidRDefault="00245C50">
      <w:pPr>
        <w:pStyle w:val="FootnoteText"/>
      </w:pPr>
      <w:r>
        <w:rPr>
          <w:rStyle w:val="FootnoteReference"/>
        </w:rPr>
        <w:footnoteRef/>
      </w:r>
      <w:r>
        <w:t xml:space="preserve"> </w:t>
      </w:r>
      <w:r>
        <w:fldChar w:fldCharType="begin"/>
      </w:r>
      <w:r w:rsidR="00ED4200">
        <w:instrText xml:space="preserve"> ADDIN ZOTERO_ITEM CSL_CITATION {"citationID":"JDZ9kO44","properties":{"formattedCitation":"Tim Brown, {\\i{}Change by Design: How Design Thinking Transforms Organizations and Inspires Innovation} (HarperCollins 2009).","plainCitation":"Tim Brown, Change by Design: How Design Thinking Transforms Organizations and Inspires Innovation (HarperCollins 2009).","noteIndex":43},"citationItems":[{"id":1865,"uris":["http://zotero.org/users/1464657/items/BQ78QXPW"],"itemData":{"id":1865,"type":"book","event-place":"New York","publisher":"HarperCollins","publisher-place":"New York","title":"Change by Design: How Design Thinking Transforms Organizations and Inspires Innovation","author":[{"family":"Brown","given":"Tim"}],"issued":{"date-parts":[["2009"]]}}}],"schema":"https://github.com/citation-style-language/schema/raw/master/csl-citation.json"} </w:instrText>
      </w:r>
      <w:r>
        <w:fldChar w:fldCharType="separate"/>
      </w:r>
      <w:r w:rsidR="00206BCF" w:rsidRPr="00206BCF">
        <w:rPr>
          <w:kern w:val="0"/>
        </w:rPr>
        <w:t xml:space="preserve">Tim Brown, </w:t>
      </w:r>
      <w:r w:rsidR="00206BCF" w:rsidRPr="00206BCF">
        <w:rPr>
          <w:i/>
          <w:iCs/>
          <w:kern w:val="0"/>
        </w:rPr>
        <w:t>Change by Design: How Design Thinking Transforms Organizations and Inspires Innovation</w:t>
      </w:r>
      <w:r w:rsidR="00206BCF" w:rsidRPr="00206BCF">
        <w:rPr>
          <w:kern w:val="0"/>
        </w:rPr>
        <w:t xml:space="preserve"> (HarperCollins 2009).</w:t>
      </w:r>
      <w:r>
        <w:fldChar w:fldCharType="end"/>
      </w:r>
    </w:p>
  </w:footnote>
  <w:footnote w:id="44">
    <w:p w14:paraId="44C0689E" w14:textId="26906B08" w:rsidR="00CA1D3C" w:rsidRDefault="00CA1D3C">
      <w:pPr>
        <w:pStyle w:val="FootnoteText"/>
      </w:pPr>
      <w:r>
        <w:rPr>
          <w:rStyle w:val="FootnoteReference"/>
        </w:rPr>
        <w:footnoteRef/>
      </w:r>
      <w:r>
        <w:t xml:space="preserve"> </w:t>
      </w:r>
      <w:r>
        <w:fldChar w:fldCharType="begin"/>
      </w:r>
      <w:r w:rsidR="00ED4200">
        <w:instrText xml:space="preserve"> ADDIN ZOTERO_ITEM CSL_CITATION {"citationID":"HDxahy7E","properties":{"formattedCitation":"Kostina Prifti and others, \\uc0\\u8216{}Regulation by Design: Features, Practices, Limitations, and Governance Implications\\uc0\\u8217{} (2024) 34 Minds and Machines 13.","plainCitation":"Kostina Prifti and others, ‘Regulation by Design: Features, Practices, Limitations, and Governance Implications’ (2024) 34 Minds and Machines 13.","noteIndex":44},"citationItems":[{"id":1824,"uris":["http://zotero.org/users/1464657/items/24U2A7IB"],"itemData":{"id":1824,"type":"article-journal","abstract":"Regulation by design (RBD) is a growing research field that explores, develops, and criticises the regulative function of design. In this article, we provide a qualitative thematic synthesis of the existing literature. The aim is to explore and analyse RBD’s core features, practices, limitations, and related governance implications. To fulfil this aim, we examine the extant literature on RBD in the context of digital technologies. We start by identifying and structuring the core features of RBD, namely the goals, regulators, regulatees, methods, and technologies. Building on that structure, we distinguish among three types of RBD practices: compliance by design, value creation by design, and optimisation by design. We then explore the challenges and limitations of RBD practices, which stem from risks associated with compliance by design, contextual limitations, or methodological uncertainty. Finally, we examine the governance implications of RBD and outline possible future directions of the research field and its practices.","container-title":"Minds and Machines","DOI":"10.1007/s11023-024-09675-z","ISSN":"1572-8641","issue":"2","journalAbbreviation":"Minds &amp; Machines","language":"en","page":"13","source":"Springer Link","title":"Regulation by Design: Features, Practices, Limitations, and Governance Implications","title-short":"Regulation by Design","volume":"34","author":[{"family":"Prifti","given":"Kostina"},{"family":"Morley","given":"Jessica"},{"family":"Novelli","given":"Claudio"},{"family":"Floridi","given":"Luciano"}],"issued":{"date-parts":[["2024"]]}}}],"schema":"https://github.com/citation-style-language/schema/raw/master/csl-citation.json"} </w:instrText>
      </w:r>
      <w:r>
        <w:fldChar w:fldCharType="separate"/>
      </w:r>
      <w:r w:rsidRPr="00CA1D3C">
        <w:rPr>
          <w:kern w:val="0"/>
        </w:rPr>
        <w:t>Kostina Prifti and others, ‘Regulation by Design: Features, Practices, Limitations, and Governance Implications’ (2024) 34 Minds and Machines 13.</w:t>
      </w:r>
      <w:r>
        <w:fldChar w:fldCharType="end"/>
      </w:r>
    </w:p>
  </w:footnote>
  <w:footnote w:id="45">
    <w:p w14:paraId="1E82CC2E" w14:textId="79036727" w:rsidR="004203EB" w:rsidRDefault="004203EB">
      <w:pPr>
        <w:pStyle w:val="FootnoteText"/>
      </w:pPr>
      <w:r>
        <w:rPr>
          <w:rStyle w:val="FootnoteReference"/>
        </w:rPr>
        <w:footnoteRef/>
      </w:r>
      <w:r>
        <w:t xml:space="preserve"> </w:t>
      </w:r>
      <w:r>
        <w:fldChar w:fldCharType="begin"/>
      </w:r>
      <w:r w:rsidR="00ED4200">
        <w:instrText xml:space="preserve"> ADDIN ZOTERO_ITEM CSL_CITATION {"citationID":"11NRdiSJ","properties":{"formattedCitation":"Berilsu Tarcan, Ida Pettersen and Ferne Edwards, \\uc0\\u8216{}Making-with the Environment through More-than-Human Design\\uc0\\u8217{} in D Lockton and others (eds), {\\i{}DRS Biennial Conference Series} (2022) &lt;https://dl.designresearchsociety.org/drs-conference-papers/drs2022/researchpapers/88&gt;.","plainCitation":"Berilsu Tarcan, Ida Pettersen and Ferne Edwards, ‘Making-with the Environment through More-than-Human Design’ in D Lockton and others (eds), DRS Biennial Conference Series (2022) &lt;https://dl.designresearchsociety.org/drs-conference-papers/drs2022/researchpapers/88&gt;.","noteIndex":45},"citationItems":[{"id":1858,"uris":["http://zotero.org/users/1464657/items/CDZF2HEV"],"itemData":{"id":1858,"type":"paper-conference","container-title":"DRS Biennial Conference Series","DOI":"10.21606/drs.2022.347","event-place":"Bilbao, Spain","event-title":"DRS2022: Bilbao","publisher-place":"Bilbao, Spain","title":"Making-with the Environment through More-than-Human Design","URL":"https://dl.designresearchsociety.org/drs-conference-papers/drs2022/researchpapers/88","author":[{"family":"Tarcan","given":"Berilsu"},{"family":"Pettersen","given":"Ida"},{"family":"Edwards","given":"Ferne"}],"editor":[{"family":"Lockton","given":"D."},{"family":"Lenzi","given":"S."},{"family":"Hekkert","given":"P."},{"family":"Oak","given":"A."},{"family":"Sádaba","given":"J."},{"family":"Lloyd","given":"P."}],"issued":{"date-parts":[["2022"]]}}}],"schema":"https://github.com/citation-style-language/schema/raw/master/csl-citation.json"} </w:instrText>
      </w:r>
      <w:r>
        <w:fldChar w:fldCharType="separate"/>
      </w:r>
      <w:r w:rsidRPr="004203EB">
        <w:rPr>
          <w:kern w:val="0"/>
        </w:rPr>
        <w:t xml:space="preserve">Berilsu Tarcan, Ida Pettersen and Ferne Edwards, ‘Making-with the Environment through More-than-Human Design’ in D Lockton and others (eds), </w:t>
      </w:r>
      <w:r w:rsidRPr="004203EB">
        <w:rPr>
          <w:i/>
          <w:iCs/>
          <w:kern w:val="0"/>
        </w:rPr>
        <w:t>DRS Biennial Conference Series</w:t>
      </w:r>
      <w:r w:rsidRPr="004203EB">
        <w:rPr>
          <w:kern w:val="0"/>
        </w:rPr>
        <w:t xml:space="preserve"> (2022) &lt;https://dl.designresearchsociety.org/drs-conference-papers/drs2022/researchpapers/88&gt;.</w:t>
      </w:r>
      <w:r>
        <w:fldChar w:fldCharType="end"/>
      </w:r>
    </w:p>
  </w:footnote>
  <w:footnote w:id="46">
    <w:p w14:paraId="4D508DF6" w14:textId="31A1297A" w:rsidR="004203EB" w:rsidRDefault="004203EB">
      <w:pPr>
        <w:pStyle w:val="FootnoteText"/>
      </w:pPr>
      <w:r>
        <w:rPr>
          <w:rStyle w:val="FootnoteReference"/>
        </w:rPr>
        <w:footnoteRef/>
      </w:r>
      <w:r>
        <w:t xml:space="preserve"> </w:t>
      </w:r>
      <w:r>
        <w:fldChar w:fldCharType="begin"/>
      </w:r>
      <w:r w:rsidR="00ED4200">
        <w:instrText xml:space="preserve"> ADDIN ZOTERO_ITEM CSL_CITATION {"citationID":"gGqw0JMy","properties":{"formattedCitation":"Laura Forlano, \\uc0\\u8216{}Posthumanism and Design\\uc0\\u8217{} (2017) 3 She Ji: The Journal of Design, Economics, and Innovation 16, 17.","plainCitation":"Laura Forlano, ‘Posthumanism and Design’ (2017) 3 She Ji: The Journal of Design, Economics, and Innovation 16, 17.","noteIndex":46},"citationItems":[{"id":1823,"uris":["http://zotero.org/users/1464657/items/DRCJQ84Q"],"itemData":{"id":1823,"type":"article-journal","abstract":"Since at least the mid-1980s, design has been dominated by a human-centered and user-centered paradigm. Currently, the implications of technological and environmental transformations are challenging designers to focus on complex socio-technical systems. This article traces emergent discussions around posthumanism from across a range of disciplines and perspectives, and considers examples from emerging design practices that emphasize the interrelations between human and nonhuman actors. Specifically, this article reviews literature from actor-network theory (ANT), feminist new materialism, object-oriented ontology, non-representational theory, and transhumanism to inform the development of new methodologies and practices in the field of design. Finally, this article presents critiques of posthumanism from critical race theory and decolonial theory to consider how emergent design perspectives might better support values such as equality and justice for humans and nonhumans that have been traditionally ignored in design processes.","container-title":"She Ji: The Journal of Design, Economics, and Innovation","DOI":"10.1016/j.sheji.2017.08.001","ISSN":"2405-8726","issue":"1","journalAbbreviation":"She Ji: The Journal of Design, Economics, and Innovation","language":"en","page":"16-29","source":"ScienceDirect","title":"Posthumanism and Design","volume":"3","author":[{"family":"Forlano","given":"Laura"}],"issued":{"date-parts":[["2017"]]}},"locator":"17","label":"page"}],"schema":"https://github.com/citation-style-language/schema/raw/master/csl-citation.json"} </w:instrText>
      </w:r>
      <w:r>
        <w:fldChar w:fldCharType="separate"/>
      </w:r>
      <w:r w:rsidRPr="004203EB">
        <w:rPr>
          <w:kern w:val="0"/>
        </w:rPr>
        <w:t>Laura Forlano, ‘Posthumanism and Design’ (2017) 3 She Ji: The Journal of Design, Economics, and Innovation 16, 17.</w:t>
      </w:r>
      <w:r>
        <w:fldChar w:fldCharType="end"/>
      </w:r>
    </w:p>
  </w:footnote>
  <w:footnote w:id="47">
    <w:p w14:paraId="45517DFE" w14:textId="5448A968" w:rsidR="004203EB" w:rsidRDefault="004203EB">
      <w:pPr>
        <w:pStyle w:val="FootnoteText"/>
      </w:pPr>
      <w:r>
        <w:rPr>
          <w:rStyle w:val="FootnoteReference"/>
        </w:rPr>
        <w:footnoteRef/>
      </w:r>
      <w:r>
        <w:t xml:space="preserve"> </w:t>
      </w:r>
      <w:r>
        <w:fldChar w:fldCharType="begin"/>
      </w:r>
      <w:r w:rsidR="00ED4200">
        <w:instrText xml:space="preserve"> ADDIN ZOTERO_ITEM CSL_CITATION {"citationID":"RfVUt9kp","properties":{"formattedCitation":"Marcus Foth and others, \\uc0\\u8216{}A Capitalocentric Review of Technology for Sustainable Development: The Case for More-than-Human Design\\uc0\\u8217{} in Alan Finlay (ed), {\\i{}Global Information Society Watch 2020: Technology, the Environment and a Sustainable World: Responses from the Global South} (Association for Progressive Communications 2021) 82 &lt;https://eprints.qut.edu.au/203186/8/gisw2020_australia.pdf&gt;.","plainCitation":"Marcus Foth and others, ‘A Capitalocentric Review of Technology for Sustainable Development: The Case for More-than-Human Design’ in Alan Finlay (ed), Global Information Society Watch 2020: Technology, the Environment and a Sustainable World: Responses from the Global South (Association for Progressive Communications 2021) 82 &lt;https://eprints.qut.edu.au/203186/8/gisw2020_australia.pdf&gt;.","noteIndex":47},"citationItems":[{"id":27,"uris":["http://zotero.org/users/1464657/items/KJXXT78V"],"itemData":{"id":27,"type":"chapter","container-title":"Global Information Society Watch 2020: Technology, the Environment and a Sustainable World: Responses from the Global South","event-place":"Melville, South Africa","page":"78-82","publisher":"Association for Progressive Communications","publisher-place":"Melville, South Africa","title":"A Capitalocentric Review of Technology for Sustainable Development: The Case for More-than-human Design","URL":"https://eprints.qut.edu.au/203186/8/gisw2020_australia.pdf","author":[{"family":"Foth","given":"Marcus"},{"family":"Mann","given":"Monique"},{"family":"Bedford","given":"Laura"},{"family":"Fieuw","given":"Walter"},{"family":"Walters","given":"Reece"}],"editor":[{"family":"Finlay","given":"Alan"}],"issued":{"date-parts":[["2021"]]}},"locator":"82","label":"page"}],"schema":"https://github.com/citation-style-language/schema/raw/master/csl-citation.json"} </w:instrText>
      </w:r>
      <w:r>
        <w:fldChar w:fldCharType="separate"/>
      </w:r>
      <w:r w:rsidRPr="004203EB">
        <w:rPr>
          <w:kern w:val="0"/>
        </w:rPr>
        <w:t xml:space="preserve">Marcus Foth and others, ‘A Capitalocentric Review of Technology for Sustainable Development: The Case for More-than-Human Design’ in Alan Finlay (ed), </w:t>
      </w:r>
      <w:r w:rsidRPr="004203EB">
        <w:rPr>
          <w:i/>
          <w:iCs/>
          <w:kern w:val="0"/>
        </w:rPr>
        <w:t>Global Information Society Watch 2020: Technology, the Environment and a Sustainable World: Responses from the Global South</w:t>
      </w:r>
      <w:r w:rsidRPr="004203EB">
        <w:rPr>
          <w:kern w:val="0"/>
        </w:rPr>
        <w:t xml:space="preserve"> (Association for Progressive Communications 2021) 82 &lt;https://eprints.qut.edu.au/203186/8/gisw2020_australia.pdf&gt;.</w:t>
      </w:r>
      <w:r>
        <w:fldChar w:fldCharType="end"/>
      </w:r>
    </w:p>
  </w:footnote>
  <w:footnote w:id="48">
    <w:p w14:paraId="2048422B" w14:textId="54BD9180" w:rsidR="002404A9" w:rsidRDefault="002404A9">
      <w:pPr>
        <w:pStyle w:val="FootnoteText"/>
      </w:pPr>
      <w:r>
        <w:rPr>
          <w:rStyle w:val="FootnoteReference"/>
        </w:rPr>
        <w:footnoteRef/>
      </w:r>
      <w:r>
        <w:t xml:space="preserve"> </w:t>
      </w:r>
      <w:r>
        <w:fldChar w:fldCharType="begin"/>
      </w:r>
      <w:r w:rsidR="00ED4200">
        <w:instrText xml:space="preserve"> ADDIN ZOTERO_ITEM CSL_CITATION {"citationID":"5dDanMAi","properties":{"formattedCitation":"James J Gibson, \\uc0\\u8216{}The Theory of Affordances\\uc0\\u8217{} in Robert Shaw and John Bransford (eds), {\\i{}Perceiving, Knowing, and Acting: Toward an Ecological Psychology} (Wiley 1977).","plainCitation":"James J Gibson, ‘The Theory of Affordances’ in Robert Shaw and John Bransford (eds), Perceiving, Knowing, and Acting: Toward an Ecological Psychology (Wiley 1977).","noteIndex":48},"citationItems":[{"id":1857,"uris":["http://zotero.org/users/1464657/items/592HGF2P"],"itemData":{"id":1857,"type":"chapter","container-title":"Perceiving, Knowing, and Acting: Toward an Ecological Psychology","event-place":"New York","page":"67-82","publisher":"Wiley","publisher-place":"New York","title":"The Theory of Affordances","author":[{"family":"Gibson","given":"James J."}],"editor":[{"family":"Shaw","given":"Robert"},{"family":"Bransford","given":"John"}],"issued":{"date-parts":[["1977"]]}}}],"schema":"https://github.com/citation-style-language/schema/raw/master/csl-citation.json"} </w:instrText>
      </w:r>
      <w:r>
        <w:fldChar w:fldCharType="separate"/>
      </w:r>
      <w:r w:rsidRPr="002404A9">
        <w:rPr>
          <w:kern w:val="0"/>
        </w:rPr>
        <w:t xml:space="preserve">James J Gibson, ‘The Theory of Affordances’ in Robert Shaw and John Bransford (eds), </w:t>
      </w:r>
      <w:r w:rsidRPr="002404A9">
        <w:rPr>
          <w:i/>
          <w:iCs/>
          <w:kern w:val="0"/>
        </w:rPr>
        <w:t>Perceiving, Knowing, and Acting: Toward an Ecological Psychology</w:t>
      </w:r>
      <w:r w:rsidRPr="002404A9">
        <w:rPr>
          <w:kern w:val="0"/>
        </w:rPr>
        <w:t xml:space="preserve"> (Wiley 1977).</w:t>
      </w:r>
      <w:r>
        <w:fldChar w:fldCharType="end"/>
      </w:r>
    </w:p>
  </w:footnote>
  <w:footnote w:id="49">
    <w:p w14:paraId="7BBBD433" w14:textId="2CCFD275" w:rsidR="002404A9" w:rsidRDefault="002404A9">
      <w:pPr>
        <w:pStyle w:val="FootnoteText"/>
      </w:pPr>
      <w:r>
        <w:rPr>
          <w:rStyle w:val="FootnoteReference"/>
        </w:rPr>
        <w:footnoteRef/>
      </w:r>
      <w:r>
        <w:t xml:space="preserve"> </w:t>
      </w:r>
      <w:r>
        <w:fldChar w:fldCharType="begin"/>
      </w:r>
      <w:r w:rsidR="00ED4200">
        <w:instrText xml:space="preserve"> ADDIN ZOTERO_ITEM CSL_CITATION {"citationID":"O84mFgIJ","properties":{"formattedCitation":"Carl DiSalvo and Jonathan Lukens, \\uc0\\u8216{}Nonanthropocentrism and the Nonhuman in Design: Possibilities for Designing New Forms of Engagement with and through Technology\\uc0\\u8217{} in Marcus Foth and others (eds), {\\i{}From Social Butterfly to Engaged Citizen: Urban Informatics, Social Media, Ubiquitous Computing, and Mobile Technology to Support Citizen Engagement} (MIT Press 2011).","plainCitation":"Carl DiSalvo and Jonathan Lukens, ‘Nonanthropocentrism and the Nonhuman in Design: Possibilities for Designing New Forms of Engagement with and through Technology’ in Marcus Foth and others (eds), From Social Butterfly to Engaged Citizen: Urban Informatics, Social Media, Ubiquitous Computing, and Mobile Technology to Support Citizen Engagement (MIT Press 2011).","noteIndex":49},"citationItems":[{"id":51,"uris":["http://zotero.org/users/1464657/items/G2M3EPQH"],"itemData":{"id":51,"type":"chapter","container-title":"From Social Butterfly to Engaged Citizen: Urban Informatics, Social Media, Ubiquitous Computing, and Mobile Technology to Support Citizen Engagement","event-place":"London, UK","page":"421-435","publisher":"MIT Press","publisher-place":"London, UK","title":"Nonanthropocentrism and the Nonhuman in Design: Possibilities for Designing New Forms of Engagement with and through Technology","editor":[{"family":"Foth","given":"Marcus"},{"family":"Forlano","given":"Laura"},{"family":"Satchell","given":"Christine"},{"family":"Gibbs","given":"Martin"}],"author":[{"family":"DiSalvo","given":"Carl"},{"family":"Lukens","given":"Jonathan"}],"issued":{"date-parts":[["2011"]]}}}],"schema":"https://github.com/citation-style-language/schema/raw/master/csl-citation.json"} </w:instrText>
      </w:r>
      <w:r>
        <w:fldChar w:fldCharType="separate"/>
      </w:r>
      <w:r w:rsidRPr="002404A9">
        <w:rPr>
          <w:kern w:val="0"/>
        </w:rPr>
        <w:t xml:space="preserve">Carl DiSalvo and Jonathan Lukens, ‘Nonanthropocentrism and the Nonhuman in Design: Possibilities for Designing New Forms of Engagement with and through Technology’ in Marcus Foth and others (eds), </w:t>
      </w:r>
      <w:r w:rsidRPr="002404A9">
        <w:rPr>
          <w:i/>
          <w:iCs/>
          <w:kern w:val="0"/>
        </w:rPr>
        <w:t>From Social Butterfly to Engaged Citizen: Urban Informatics, Social Media, Ubiquitous Computing, and Mobile Technology to Support Citizen Engagement</w:t>
      </w:r>
      <w:r w:rsidRPr="002404A9">
        <w:rPr>
          <w:kern w:val="0"/>
        </w:rPr>
        <w:t xml:space="preserve"> (MIT Press 2011).</w:t>
      </w:r>
      <w:r>
        <w:fldChar w:fldCharType="end"/>
      </w:r>
    </w:p>
  </w:footnote>
  <w:footnote w:id="50">
    <w:p w14:paraId="64DB0E13" w14:textId="1B78DD9C" w:rsidR="00C649A0" w:rsidRDefault="00C649A0">
      <w:pPr>
        <w:pStyle w:val="FootnoteText"/>
      </w:pPr>
      <w:r>
        <w:rPr>
          <w:rStyle w:val="FootnoteReference"/>
        </w:rPr>
        <w:footnoteRef/>
      </w:r>
      <w:r>
        <w:t xml:space="preserve"> </w:t>
      </w:r>
      <w:r>
        <w:fldChar w:fldCharType="begin"/>
      </w:r>
      <w:r w:rsidR="00ED4200">
        <w:instrText xml:space="preserve"> ADDIN ZOTERO_ITEM CSL_CITATION {"citationID":"laS26yIR","properties":{"formattedCitation":"Bill Tomlinson and others, \\uc0\\u8216{}Returning Ecological Wealth to Nonhuman Species through Design: The Case for Ecosystemas\\uc0\\u8217{} (2022) 27 Ecology and Society 34.","plainCitation":"Bill Tomlinson and others, ‘Returning Ecological Wealth to Nonhuman Species through Design: The Case for Ecosystemas’ (2022) 27 Ecology and Society 34.","noteIndex":50},"citationItems":[{"id":1822,"uris":["http://zotero.org/users/1464657/items/7LCNTIEW"],"itemData":{"id":1822,"type":"article-journal","abstract":"Human population and energy use have increased rapidly in recent centuries. This growth has relied on Homo sapiens appropriating ecosystem services previously shared more equitably with many other species. Envisioning this process as a transfer of ecological wealth among species provides a framework within which to examine human activities. We use this framework to critique the broad endeavor of design, and in particular human-computer interaction design, as it has been pursued by human civilization over the past several decades. We offer a conceptual tool, the ecosystema, that may help enable design processes to support the redistribution of ecological wealth to nonhuman species. The ecosystema is based on the concept of personas: distilled representations of particular user groups that are a key part of many design processes. The ecosystema construct is analogous to a persona, but at the level of an entire ecosystem rather than of a particular human population. This construct could help discern ecosystem level impacts and enable them to influence design processes more effectively. Ecosystemas also may afford greater leverage for effectively managing current environmental crises than existing anthropocentric design approaches.","container-title":"Ecology and Society","DOI":"10.5751/ES-13324-270234","ISSN":"1708-3087","issue":"2","language":"en","license":"© 2022 by the author(s)","note":"publisher: The Resilience Alliance","page":"34","source":"ecologyandsociety.org","title":"Returning Ecological Wealth to Nonhuman Species through Design: The Case for Ecosystemas","title-short":"Returning ecological wealth to nonhuman species through design","volume":"27","author":[{"family":"Tomlinson","given":"Bill"},{"family":"Nardi","given":"Bonnie"},{"family":"Stokols","given":"Daniel"},{"family":"Raturi","given":"Ankita"},{"family":"Torrance","given":"Andrew W."}],"issued":{"date-parts":[["2022"]]}}}],"schema":"https://github.com/citation-style-language/schema/raw/master/csl-citation.json"} </w:instrText>
      </w:r>
      <w:r>
        <w:fldChar w:fldCharType="separate"/>
      </w:r>
      <w:r w:rsidRPr="00C649A0">
        <w:rPr>
          <w:kern w:val="0"/>
        </w:rPr>
        <w:t>Bill Tomlinson and others, ‘Returning Ecological Wealth to Nonhuman Species through Design: The Case for Ecosystemas’ (2022) 27 Ecology and Society 34.</w:t>
      </w:r>
      <w:r>
        <w:fldChar w:fldCharType="end"/>
      </w:r>
    </w:p>
  </w:footnote>
  <w:footnote w:id="51">
    <w:p w14:paraId="5B3B2F91" w14:textId="3B0DB71F" w:rsidR="00C649A0" w:rsidRDefault="00C649A0">
      <w:pPr>
        <w:pStyle w:val="FootnoteText"/>
      </w:pPr>
      <w:r>
        <w:rPr>
          <w:rStyle w:val="FootnoteReference"/>
        </w:rPr>
        <w:footnoteRef/>
      </w:r>
      <w:r>
        <w:t xml:space="preserve"> </w:t>
      </w:r>
      <w:r>
        <w:fldChar w:fldCharType="begin"/>
      </w:r>
      <w:r w:rsidR="00ED4200">
        <w:instrText xml:space="preserve"> ADDIN ZOTERO_ITEM CSL_CITATION {"citationID":"hdUWWgqx","properties":{"formattedCitation":"Martin Tomitsch and others, \\uc0\\u8216{}Non-Human Personas: Including Nature in the Participatory Design of Smart Cities\\uc0\\u8217{} (2021) 50 Interaction Design and Architecture(s) 102.","plainCitation":"Martin Tomitsch and others, ‘Non-Human Personas: Including Nature in the Participatory Design of Smart Cities’ (2021) 50 Interaction Design and Architecture(s) 102.","noteIndex":51},"citationItems":[{"id":1859,"uris":["http://zotero.org/users/1464657/items/EVFIWCNG"],"itemData":{"id":1859,"type":"article-journal","container-title":"Interaction Design and Architecture(s)","issue":"50","page":"102-130","title":"Non-human Personas: Including Nature in the Participatory Design of Smart Cities","volume":"50","author":[{"family":"Tomitsch","given":"Martin"},{"family":"Fredericks","given":"Joel"},{"family":"Vo","given":"Dan"},{"family":"Frawley","given":"Jessica"},{"family":"Foth","given":"Marcus"}],"issued":{"date-parts":[["2021"]]}}}],"schema":"https://github.com/citation-style-language/schema/raw/master/csl-citation.json"} </w:instrText>
      </w:r>
      <w:r>
        <w:fldChar w:fldCharType="separate"/>
      </w:r>
      <w:r w:rsidRPr="00C649A0">
        <w:rPr>
          <w:kern w:val="0"/>
        </w:rPr>
        <w:t>Martin Tomitsch and others, ‘Non-Human Personas: Including Nature in the Participatory Design of Smart Cities’ (2021) 50 Interaction Design and Architecture(s) 102.</w:t>
      </w:r>
      <w:r>
        <w:fldChar w:fldCharType="end"/>
      </w:r>
    </w:p>
  </w:footnote>
  <w:footnote w:id="52">
    <w:p w14:paraId="2CA642F6" w14:textId="775B4C7E" w:rsidR="00C649A0" w:rsidRDefault="00C649A0">
      <w:pPr>
        <w:pStyle w:val="FootnoteText"/>
      </w:pPr>
      <w:r>
        <w:rPr>
          <w:rStyle w:val="FootnoteReference"/>
        </w:rPr>
        <w:footnoteRef/>
      </w:r>
      <w:r>
        <w:t xml:space="preserve"> </w:t>
      </w:r>
      <w:r>
        <w:fldChar w:fldCharType="begin"/>
      </w:r>
      <w:r w:rsidR="00ED4200">
        <w:instrText xml:space="preserve"> ADDIN ZOTERO_ITEM CSL_CITATION {"citationID":"G12uKGPg","properties":{"formattedCitation":"Michelle Westerlaken and Stefano Gualeni, \\uc0\\u8216{}Becoming with: Towards the Inclusion of Animals as Participants in Design Processes\\uc0\\u8217{}, {\\i{}Proceedings of the Third International Conference on Animal-Computer Interaction} (Association for Computing Machinery 2016) &lt;https://doi.org/10.1145/2995257.2995392&gt;.","plainCitation":"Michelle Westerlaken and Stefano Gualeni, ‘Becoming with: Towards the Inclusion of Animals as Participants in Design Processes’, Proceedings of the Third International Conference on Animal-Computer Interaction (Association for Computing Machinery 2016) &lt;https://doi.org/10.1145/2995257.2995392&gt;.","noteIndex":52},"citationItems":[{"id":1821,"uris":["http://zotero.org/users/1464657/items/FK2J3DMT"],"itemData":{"id":1821,"type":"paper-conference","abstract":"In this exploratory paper, we advocate for a way to mitigate the anthropocentrism inherent in interaction-design methodologies. We propose to involve animals that live in anthropic environments as participants in design processes. The current relationships between animals and technology have an inevitable impact on their well-being and raise fundamental ethical questions concerning our design policies. Drawing from the work of Bruno Latour and Donna Haraway, we argue for a situated approach in which we reflect upon concrete design contexts. We explore the notion of becoming with as a conceptual framework for the intuitive and bodily understanding that takes place between humans and animals when they encounter one-another in shared contexts. Adopting a research through design approach, we further explore this notion by reflecting upon two different participatory design projects with two dogs. We found these reflections to offer valuable perspectives for designers to analyse and discuss their iterative processes.","collection-title":"ACI '16","container-title":"Proceedings of the Third International Conference on Animal-Computer Interaction","DOI":"10.1145/2995257.2995392","event-place":"New York, NY, USA","ISBN":"978-1-4503-4758-7","page":"1–10","publisher":"Association for Computing Machinery","publisher-place":"New York, NY, USA","source":"ACM Digital Library","title":"Becoming with: Towards the Inclusion of Animals as Participants in Design Processes","title-short":"Becoming with","URL":"https://doi.org/10.1145/2995257.2995392","author":[{"family":"Westerlaken","given":"Michelle"},{"family":"Gualeni","given":"Stefano"}],"issued":{"date-parts":[["2016"]]}}}],"schema":"https://github.com/citation-style-language/schema/raw/master/csl-citation.json"} </w:instrText>
      </w:r>
      <w:r>
        <w:fldChar w:fldCharType="separate"/>
      </w:r>
      <w:r w:rsidRPr="00C649A0">
        <w:rPr>
          <w:kern w:val="0"/>
        </w:rPr>
        <w:t xml:space="preserve">Michelle Westerlaken and Stefano Gualeni, ‘Becoming with: Towards the Inclusion of Animals as Participants in Design Processes’, </w:t>
      </w:r>
      <w:r w:rsidRPr="00C649A0">
        <w:rPr>
          <w:i/>
          <w:iCs/>
          <w:kern w:val="0"/>
        </w:rPr>
        <w:t>Proceedings of the Third International Conference on Animal-Computer Interaction</w:t>
      </w:r>
      <w:r w:rsidRPr="00C649A0">
        <w:rPr>
          <w:kern w:val="0"/>
        </w:rPr>
        <w:t xml:space="preserve"> (Association for Computing Machinery 2016) &lt;https://doi.org/10.1145/2995257.2995392&gt;.</w:t>
      </w:r>
      <w:r>
        <w:fldChar w:fldCharType="end"/>
      </w:r>
    </w:p>
  </w:footnote>
  <w:footnote w:id="53">
    <w:p w14:paraId="00BD8E54" w14:textId="3447B8A7" w:rsidR="00550F7A" w:rsidRDefault="00550F7A">
      <w:pPr>
        <w:pStyle w:val="FootnoteText"/>
      </w:pPr>
      <w:r>
        <w:rPr>
          <w:rStyle w:val="FootnoteReference"/>
        </w:rPr>
        <w:footnoteRef/>
      </w:r>
      <w:r>
        <w:t xml:space="preserve"> </w:t>
      </w:r>
      <w:r>
        <w:fldChar w:fldCharType="begin"/>
      </w:r>
      <w:r w:rsidR="00ED4200">
        <w:instrText xml:space="preserve"> ADDIN ZOTERO_ITEM CSL_CITATION {"citationID":"F2pAkHgr","properties":{"formattedCitation":"Nancy Smith, Shaowen Bardzell and Jeffrey Bardzell, \\uc0\\u8216{}Designing for Cohabitation: Naturecultures, Hybrids, and Decentering the Human in Design\\uc0\\u8217{}, {\\i{}Proceedings of the 2017 CHI Conference on Human Factors in Computing Systems} (Association for Computing Machinery 2017) &lt;https://doi.org/10.1145/3025453.3025948&gt;.","plainCitation":"Nancy Smith, Shaowen Bardzell and Jeffrey Bardzell, ‘Designing for Cohabitation: Naturecultures, Hybrids, and Decentering the Human in Design’, Proceedings of the 2017 CHI Conference on Human Factors in Computing Systems (Association for Computing Machinery 2017) &lt;https://doi.org/10.1145/3025453.3025948&gt;.","noteIndex":53},"citationItems":[{"id":1820,"uris":["http://zotero.org/users/1464657/items/ISK76JIZ"],"itemData":{"id":1820,"type":"paper-conference","abstract":"Recent research in urban informatics has presented the city as both a complex technological center and a diverse cultural, social, and political entity. However, there has been little research into the changing role that nature plays in urban space, particularly when it comes to understanding how animals have adapted to life in technological and networked cities. In the wake of urbanization, new kinds of cohabitation, including increased interactions between humans and animals, has resulted in new challenges for those working in urban informatics. We leverage key concepts in the Anthropocene-naturecultures, hybrids, and decentering the human in design-to unpack the entanglements of animal-human-computer interaction in two design cases: The Big Cat Behavioral Tracking Initiative and The Phenology Clock. We contribute to urban informatics and HCI research by reflecting on ways in which design can promote new forms of cohabitation and support a broader conception of the city that sees animals as an essential part of the urban landscape.","collection-title":"CHI '17","container-title":"Proceedings of the 2017 CHI Conference on Human Factors in Computing Systems","DOI":"10.1145/3025453.3025948","event-place":"New York, NY, USA","ISBN":"978-1-4503-4655-9","page":"1714–1725","publisher":"Association for Computing Machinery","publisher-place":"New York, NY, USA","source":"ACM Digital Library","title":"Designing for Cohabitation: Naturecultures, Hybrids, and Decentering the Human in Design","title-short":"Designing for Cohabitation","URL":"https://doi.org/10.1145/3025453.3025948","author":[{"family":"Smith","given":"Nancy"},{"family":"Bardzell","given":"Shaowen"},{"family":"Bardzell","given":"Jeffrey"}],"issued":{"date-parts":[["2017"]]}}}],"schema":"https://github.com/citation-style-language/schema/raw/master/csl-citation.json"} </w:instrText>
      </w:r>
      <w:r>
        <w:fldChar w:fldCharType="separate"/>
      </w:r>
      <w:r w:rsidRPr="00550F7A">
        <w:rPr>
          <w:kern w:val="0"/>
        </w:rPr>
        <w:t xml:space="preserve">Nancy Smith, Shaowen Bardzell and Jeffrey Bardzell, ‘Designing for Cohabitation: Naturecultures, Hybrids, and Decentering the Human in Design’, </w:t>
      </w:r>
      <w:r w:rsidRPr="00550F7A">
        <w:rPr>
          <w:i/>
          <w:iCs/>
          <w:kern w:val="0"/>
        </w:rPr>
        <w:t>Proceedings of the 2017 CHI Conference on Human Factors in Computing Systems</w:t>
      </w:r>
      <w:r w:rsidRPr="00550F7A">
        <w:rPr>
          <w:kern w:val="0"/>
        </w:rPr>
        <w:t xml:space="preserve"> (Association for Computing Machinery 2017) &lt;https://doi.org/10.1145/3025453.3025948&gt;.</w:t>
      </w:r>
      <w:r>
        <w:fldChar w:fldCharType="end"/>
      </w:r>
    </w:p>
  </w:footnote>
  <w:footnote w:id="54">
    <w:p w14:paraId="7C114330" w14:textId="7994D826" w:rsidR="00B43645" w:rsidRDefault="00B43645">
      <w:pPr>
        <w:pStyle w:val="FootnoteText"/>
      </w:pPr>
      <w:r>
        <w:rPr>
          <w:rStyle w:val="FootnoteReference"/>
        </w:rPr>
        <w:footnoteRef/>
      </w:r>
      <w:r>
        <w:t xml:space="preserve"> </w:t>
      </w:r>
      <w:r>
        <w:fldChar w:fldCharType="begin"/>
      </w:r>
      <w:r w:rsidR="00ED4200">
        <w:instrText xml:space="preserve"> ADDIN ZOTERO_ITEM CSL_CITATION {"citationID":"ywXZXO6l","properties":{"formattedCitation":"Kylie Soanes and others, \\uc0\\u8216{}Do Wildlife Crossing Structures Mitigate the Barrier Effect of Roads on Animal Movement? A Global Assessment\\uc0\\u8217{} (2024) 61 Journal of Applied Ecology 417.","plainCitation":"Kylie Soanes and others, ‘Do Wildlife Crossing Structures Mitigate the Barrier Effect of Roads on Animal Movement? A Global Assessment’ (2024) 61 Journal of Applied Ecology 417.","noteIndex":54},"citationItems":[{"id":1819,"uris":["http://zotero.org/users/1464657/items/UFYSPXKZ"],"itemData":{"id":1819,"type":"article-journal","abstract":"The widespread impacts of roads on animal movement have led to the search for innovative mitigation tools. Wildlife crossing structures (tunnels or bridges) are a common approach; however, their effectiveness remains unclear beyond isolated case studies. We conduct an extensive literature review and synthesis to address the question: What is the evidence that wildlife crossing structures mitigate the barrier effect of roads on wildlife movement? In particular, we investigated whether wildlife crossing structures prevented an expected decline in cross-road movement, restored movement to pre-construction conditions, or improved movement relative to taking no action. In an analysis of 313 studies, only 14% evaluated whether wildlife crossing structures resulted in a change in animal movement across roads. We identified critical problems in existing studies, especially the lack of benchmarks (e.g. pre-road, pre-mitigation, or control data) and the use of biased comparisons. Wildlife crossing structures allowed cross-road movement in 98% of data sets and improved movement in 60%. In contrast, the decline of wildlife movement was prevented in fewer than 40% of cases. For most structure types and species groups there was insufficient evidence to draw generalisable conclusions. Synthesis and Applications: The evidence to date suggests that wildlife crossing structures can mitigate the barrier effect of roads on wildlife movement, but in many cases have been poorly implemented or evaluated. The most supported measures were the addition of ledges and vegetation cover to increase movement for small mammals; underpasses to prevent the decline in movement of ungulates following road construction; and improving road-crossing for arboreal mammals using canopy bridges and vegetated medians. We strongly recommend that future use of crossing structures closely adheres to species-specific, best-practice guidelines to improve implementation and be paired with a thorough evaluation that includes benchmark comparisons, particularly for measures and species that lack sufficient evidence (e.g. invertebrates, amphibians, reptiles, birds, and overpasses).","container-title":"Journal of Applied Ecology","DOI":"10.1111/1365-2664.14582","ISSN":"1365-2664","issue":"3","language":"en","license":"© 2024 The Authors. Journal of Applied Ecology published by John Wiley &amp; Sons Ltd on behalf of British Ecological Society.","note":"_eprint: https://onlinelibrary.wiley.com/doi/pdf/10.1111/1365-2664.14582","page":"417-430","source":"Wiley Online Library","title":"Do Wildlife Crossing Structures Mitigate the Barrier Effect of Roads on Animal Movement? A Global Assessment","title-short":"Do wildlife crossing structures mitigate the barrier effect of roads on animal movement?","volume":"61","author":[{"family":"Soanes","given":"Kylie"},{"family":"Rytwinski","given":"Trina"},{"family":"Fahrig","given":"Lenore"},{"family":"Huijser","given":"Marcel P."},{"family":"Jaeger","given":"Jochen A. G."},{"family":"Teixeira","given":"Fernanda Z."},{"family":"Ree","given":"Rodney","non-dropping-particle":"van der"},{"family":"Grift","given":"Edgar A.","non-dropping-particle":"van der"}],"issued":{"date-parts":[["2024"]]}}}],"schema":"https://github.com/citation-style-language/schema/raw/master/csl-citation.json"} </w:instrText>
      </w:r>
      <w:r>
        <w:fldChar w:fldCharType="separate"/>
      </w:r>
      <w:r w:rsidRPr="00B43645">
        <w:rPr>
          <w:kern w:val="0"/>
        </w:rPr>
        <w:t>Kylie Soanes and others, ‘Do Wildlife Crossing Structures Mitigate the Barrier Effect of Roads on Animal Movement? A Global Assessment’ (2024) 61 Journal of Applied Ecology 417.</w:t>
      </w:r>
      <w:r>
        <w:fldChar w:fldCharType="end"/>
      </w:r>
    </w:p>
  </w:footnote>
  <w:footnote w:id="55">
    <w:p w14:paraId="15B6D200" w14:textId="008E44F2" w:rsidR="00B43645" w:rsidRDefault="00B43645">
      <w:pPr>
        <w:pStyle w:val="FootnoteText"/>
      </w:pPr>
      <w:r>
        <w:rPr>
          <w:rStyle w:val="FootnoteReference"/>
        </w:rPr>
        <w:footnoteRef/>
      </w:r>
      <w:r>
        <w:t xml:space="preserve"> </w:t>
      </w:r>
      <w:r>
        <w:fldChar w:fldCharType="begin"/>
      </w:r>
      <w:r w:rsidR="00ED4200">
        <w:instrText xml:space="preserve"> ADDIN ZOTERO_ITEM CSL_CITATION {"citationID":"5sTTztgE","properties":{"formattedCitation":"Frans J Sijtsma and others, \\uc0\\u8216{}Ecological Impact and Cost-Effectiveness of Wildlife Crossings in a Highly Fragmented Landscape: A Multi-Method Approach\\uc0\\u8217{} (2020) 35 Landscape Ecology 1701.","plainCitation":"Frans J Sijtsma and others, ‘Ecological Impact and Cost-Effectiveness of Wildlife Crossings in a Highly Fragmented Landscape: A Multi-Method Approach’ (2020) 35 Landscape Ecology 1701.","noteIndex":55},"citationItems":[{"id":1818,"uris":["http://zotero.org/users/1464657/items/TY7JF3M4"],"itemData":{"id":1818,"type":"article-journal","abstract":"Road infrastructure construction is integral to economic development, but negatively affects biodiversity. To mitigate the negative impacts of infrastructure, various types of wildlife crossings are realized worldwide, but little is known about their effectiveness, and cost-effectiveness.","container-title":"Landscape Ecology","DOI":"10.1007/s10980-020-01047-z","ISSN":"1572-9761","issue":"7","journalAbbreviation":"Landscape Ecol","language":"en","page":"1701-1720","source":"Springer Link","title":"Ecological Impact and Cost-effectiveness of Wildlife Crossings in a Highly Fragmented Landscape: A Multi-method Approach","title-short":"Ecological impact and cost-effectiveness of wildlife crossings in a highly fragmented landscape","volume":"35","author":[{"family":"Sijtsma","given":"Frans J."},{"family":"Veen","given":"Eelke","non-dropping-particle":"van der"},{"family":"Hinsberg","given":"Arjen","non-dropping-particle":"van"},{"family":"Pouwels","given":"Rogier"},{"family":"Bekker","given":"Renée"},{"family":"Dijk","given":"René E.","non-dropping-particle":"van"},{"family":"Grutters","given":"Mark"},{"family":"Klaassen","given":"Raymond"},{"family":"Krijn","given":"Margriet"},{"family":"Mouissie","given":"Maarten"},{"family":"Wymenga","given":"Eddy"}],"issued":{"date-parts":[["2020"]]}}}],"schema":"https://github.com/citation-style-language/schema/raw/master/csl-citation.json"} </w:instrText>
      </w:r>
      <w:r>
        <w:fldChar w:fldCharType="separate"/>
      </w:r>
      <w:r w:rsidRPr="00B43645">
        <w:rPr>
          <w:kern w:val="0"/>
        </w:rPr>
        <w:t>Frans J Sijtsma and others, ‘Ecological Impact and Cost-Effectiveness of Wildlife Crossings in a Highly Fragmented Landscape: A Multi-Method Approach’ (2020) 35 Landscape Ecology 1701.</w:t>
      </w:r>
      <w:r>
        <w:fldChar w:fldCharType="end"/>
      </w:r>
    </w:p>
  </w:footnote>
  <w:footnote w:id="56">
    <w:p w14:paraId="1BF0CCA0" w14:textId="1DBED8C8" w:rsidR="002A1158" w:rsidRDefault="002A1158">
      <w:pPr>
        <w:pStyle w:val="FootnoteText"/>
      </w:pPr>
      <w:r>
        <w:rPr>
          <w:rStyle w:val="FootnoteReference"/>
        </w:rPr>
        <w:footnoteRef/>
      </w:r>
      <w:r>
        <w:t xml:space="preserve"> </w:t>
      </w:r>
      <w:r>
        <w:fldChar w:fldCharType="begin"/>
      </w:r>
      <w:r w:rsidR="00ED4200">
        <w:instrText xml:space="preserve"> ADDIN ZOTERO_ITEM CSL_CITATION {"citationID":"RsJg5BrG","properties":{"formattedCitation":"Kristoffer Balslev Willert and Nicolai Krejberg Knudsen, \\uc0\\u8216{}Anthropocentrism in the Anthropocene: Towards an Ostensive Humanism\\uc0\\u8217{} [2024] Environmental Humanities.","plainCitation":"Kristoffer Balslev Willert and Nicolai Krejberg Knudsen, ‘Anthropocentrism in the Anthropocene: Towards an Ostensive Humanism’ [2024] Environmental Humanities.","noteIndex":56},"citationItems":[{"id":1855,"uris":["http://zotero.org/users/1464657/items/JX6RCBYL"],"itemData":{"id":1855,"type":"article-journal","container-title":"Environmental Humanities","ISSN":"2201-1919","source":"University of Southern Denmark","title":"Anthropocentrism in the Anthropocene: Towards an Ostensive Humanism","title-short":"Anthropocentrism in the Anthropocene","author":[{"family":"Willert","given":"Kristoffer Balslev"},{"family":"Knudsen","given":"Nicolai Krejberg"}],"issued":{"date-parts":[["2024"]]}}}],"schema":"https://github.com/citation-style-language/schema/raw/master/csl-citation.json"} </w:instrText>
      </w:r>
      <w:r>
        <w:fldChar w:fldCharType="separate"/>
      </w:r>
      <w:r w:rsidRPr="002A1158">
        <w:rPr>
          <w:kern w:val="0"/>
        </w:rPr>
        <w:t>Kristoffer Balslev Willert and Nicolai Krejberg Knudsen, ‘Anthropocentrism in the Anthropocene: Towards an Ostensive Humanism’ [2024] Environmental Humanities.</w:t>
      </w:r>
      <w:r>
        <w:fldChar w:fldCharType="end"/>
      </w:r>
    </w:p>
  </w:footnote>
  <w:footnote w:id="57">
    <w:p w14:paraId="1FC64729" w14:textId="07789F8A" w:rsidR="000D4EE4" w:rsidRDefault="000D4EE4">
      <w:pPr>
        <w:pStyle w:val="FootnoteText"/>
      </w:pPr>
      <w:r>
        <w:rPr>
          <w:rStyle w:val="FootnoteReference"/>
        </w:rPr>
        <w:footnoteRef/>
      </w:r>
      <w:r>
        <w:t xml:space="preserve"> </w:t>
      </w:r>
      <w:r>
        <w:fldChar w:fldCharType="begin"/>
      </w:r>
      <w:r w:rsidR="00ED4200">
        <w:instrText xml:space="preserve"> ADDIN ZOTERO_ITEM CSL_CITATION {"citationID":"MDZ7kHJk","properties":{"formattedCitation":"Yaffa Epstein and others, \\uc0\\u8216{}Science and the Legal Rights of Nature\\uc0\\u8217{} (2023) 380 Science eadf4155.","plainCitation":"Yaffa Epstein and others, ‘Science and the Legal Rights of Nature’ (2023) 380 Science eadf4155.","noteIndex":57},"citationItems":[{"id":1817,"uris":["http://zotero.org/users/1464657/items/57NVI5HE"],"itemData":{"id":1817,"type":"article-journal","abstract":"We review the use of science by lawmakers and courts in implementing or rejecting legal rights for nature in Ecuador, India, the United States, and other jurisdictions where some type of rights of nature have been recognized in the legal system. We then use the “right to evolve” to exemplify how interdisciplinary work can (i) help courts effectively define what this right might entail; (ii) inform how it might be applied in different circumstances; and (iii) provide a template for how scientists and legal scholars can generate the interdisciplinary scholarship necessary to understand and implement the growing body of rights-of-nature laws, and environmental law more generally. We conclude by pointing to what further research is needed to understand and effectively implement the growing body of rights-of-nature laws.","container-title":"Science","DOI":"10.1126/science.adf4155","issue":"6646","note":"publisher: American Association for the Advancement of Science","page":"eadf4155","source":"science.org (Atypon)","title":"Science and the Legal Rights of Nature","volume":"380","author":[{"family":"Epstein","given":"Yaffa"},{"family":"Ellison","given":"Aaron M."},{"family":"Echeverría","given":"Hugo"},{"family":"Abbott","given":"Jessica K."}],"issued":{"date-parts":[["2023"]]}}}],"schema":"https://github.com/citation-style-language/schema/raw/master/csl-citation.json"} </w:instrText>
      </w:r>
      <w:r>
        <w:fldChar w:fldCharType="separate"/>
      </w:r>
      <w:r w:rsidRPr="000D4EE4">
        <w:rPr>
          <w:kern w:val="0"/>
        </w:rPr>
        <w:t>Yaffa Epstein and others, ‘Science and the Legal Rights of Nature’ (2023) 380 Science eadf4155.</w:t>
      </w:r>
      <w:r>
        <w:fldChar w:fldCharType="end"/>
      </w:r>
    </w:p>
  </w:footnote>
  <w:footnote w:id="58">
    <w:p w14:paraId="38DCD141" w14:textId="7C2B6A82" w:rsidR="003E1E67" w:rsidRDefault="003E1E67">
      <w:pPr>
        <w:pStyle w:val="FootnoteText"/>
      </w:pPr>
      <w:r>
        <w:rPr>
          <w:rStyle w:val="FootnoteReference"/>
        </w:rPr>
        <w:footnoteRef/>
      </w:r>
      <w:r>
        <w:t xml:space="preserve"> </w:t>
      </w:r>
      <w:r>
        <w:fldChar w:fldCharType="begin"/>
      </w:r>
      <w:r w:rsidR="00ED4200">
        <w:instrText xml:space="preserve"> ADDIN ZOTERO_ITEM CSL_CITATION {"citationID":"9huDAGdl","properties":{"formattedCitation":"Sacha Bourgeois-Gironde and Damien Eveillard, \\uc0\\u8216{}Enhancing Precision in Defining Ecosystem Integrity: A Data-Driven Approach for Advancing Ocean Sustainability in Environmental Law\\uc0\\u8217{}.","plainCitation":"Sacha Bourgeois-Gironde and Damien Eveillard, ‘Enhancing Precision in Defining Ecosystem Integrity: A Data-Driven Approach for Advancing Ocean Sustainability in Environmental Law’.","noteIndex":58},"citationItems":[{"id":1845,"uris":["http://zotero.org/users/1464657/items/JSGLZZWB"],"itemData":{"id":1845,"type":"document","title":"Enhancing Precision in Defining Ecosystem Integrity: A Data-Driven Approach for Advancing Ocean Sustainability in Environmental Law","author":[{"family":"Bourgeois-Gironde","given":"Sacha"},{"family":"Eveillard","given":"Damien"}],"issued":{"date-parts":[["2024"]]}}}],"schema":"https://github.com/citation-style-language/schema/raw/master/csl-citation.json"} </w:instrText>
      </w:r>
      <w:r>
        <w:fldChar w:fldCharType="separate"/>
      </w:r>
      <w:r w:rsidRPr="003E1E67">
        <w:rPr>
          <w:kern w:val="0"/>
        </w:rPr>
        <w:t>Sacha Bourgeois-Gironde and Damien Eveillard, ‘Enhancing Precision in Defining Ecosystem Integrity: A Data-Driven Approach for Advancing Ocean Sustainability in Environmental Law’.</w:t>
      </w:r>
      <w:r>
        <w:fldChar w:fldCharType="end"/>
      </w:r>
    </w:p>
  </w:footnote>
  <w:footnote w:id="59">
    <w:p w14:paraId="5BEE342E" w14:textId="594AAD36" w:rsidR="003360F1" w:rsidRDefault="003360F1">
      <w:pPr>
        <w:pStyle w:val="FootnoteText"/>
      </w:pPr>
      <w:r>
        <w:rPr>
          <w:rStyle w:val="FootnoteReference"/>
        </w:rPr>
        <w:footnoteRef/>
      </w:r>
      <w:r>
        <w:t xml:space="preserve"> </w:t>
      </w:r>
      <w:r>
        <w:fldChar w:fldCharType="begin"/>
      </w:r>
      <w:r>
        <w:instrText xml:space="preserve"> ADDIN ZOTERO_ITEM CSL_CITATION {"citationID":"aL9WF2DS","properties":{"formattedCitation":"Helen Dancer, \\uc0\\u8216{}Harmony with Nature: Towards a New Deep Legal Pluralism\\uc0\\u8217{} (2021) 53 The Journal of Legal Pluralism and Unofficial Law 21, 13.","plainCitation":"Helen Dancer, ‘Harmony with Nature: Towards a New Deep Legal Pluralism’ (2021) 53 The Journal of Legal Pluralism and Unofficial Law 21, 13.","noteIndex":59},"citationItems":[{"id":2994,"uris":["http://zotero.org/users/1464657/items/KYKJABLM"],"itemData":{"id":2994,"type":"article-journal","abstract":"Through a lens of legal pluralism, this article examines the histories, ontologies and discourses that have shaped two contrasting approaches to human-Earth relations in debates and legal framework...","archive_location":"world","container-title":"The Journal of Legal Pluralism and Unofficial Law","DOI":"10.1080/07329113.2020.1845503","ISSN":"0732-9113","issue":"1","language":"EN","license":"© 2020 The Author(s). Published by Informa UK Limited, trading as Taylor &amp; Francis Group.","note":"publisher: Routledge","page":"21-41","source":"www.tandfonline.com","title":"Harmony with Nature: Towards a New Deep Legal Pluralism","title-short":"Harmony with Nature","volume":"53","author":[{"family":"Dancer","given":"Helen"}],"issued":{"date-parts":[["2021"]]}},"locator":"13","label":"page"}],"schema":"https://github.com/citation-style-language/schema/raw/master/csl-citation.json"} </w:instrText>
      </w:r>
      <w:r>
        <w:fldChar w:fldCharType="separate"/>
      </w:r>
      <w:r w:rsidRPr="003360F1">
        <w:rPr>
          <w:kern w:val="0"/>
        </w:rPr>
        <w:t>Helen Dancer, ‘Harmony with Nature: Towards a New Deep Legal Pluralism’ (2021) 53 The Journal of Legal Pluralism and Unofficial Law 21, 13.</w:t>
      </w:r>
      <w:r>
        <w:fldChar w:fldCharType="end"/>
      </w:r>
    </w:p>
  </w:footnote>
  <w:footnote w:id="60">
    <w:p w14:paraId="27FCD712" w14:textId="21EE99B3" w:rsidR="00475492" w:rsidRDefault="00475492">
      <w:pPr>
        <w:pStyle w:val="FootnoteText"/>
      </w:pPr>
      <w:r>
        <w:rPr>
          <w:rStyle w:val="FootnoteReference"/>
        </w:rPr>
        <w:footnoteRef/>
      </w:r>
      <w:r>
        <w:t xml:space="preserve"> </w:t>
      </w:r>
      <w:r>
        <w:fldChar w:fldCharType="begin"/>
      </w:r>
      <w:r w:rsidR="00ED4200">
        <w:instrText xml:space="preserve"> ADDIN ZOTERO_ITEM CSL_CITATION {"citationID":"FEcFTuId","properties":{"formattedCitation":"O\\uc0\\u8217{}Donnell and others (n 15).","plainCitation":"O’Donnell and others (n 15).","noteIndex":59},"citationItems":[{"id":1816,"uris":["http://zotero.org/users/1464657/items/KR24ZWEI"],"itemData":{"id":1816,"type":"article-journal","abstract":"The rapid emergence of rights of Nature over the past decade across multiple contexts has fostered increasing awareness, recognition, and, ultimately, acceptance of rights of Nature by the global community. Yet, too often, both scholarly publications and news articles bury the lede – namely, that the most transformative cases of rights of Nature have been consistently influenced and often actually led by Indigenous peoples. In this article we explore the ontologies of rights of Nature and earth jurisprudence, and the intersections of these movements with the leadership of Indigenous peoples in claiming and giving effect to their own rights (while acknowledging that not all Indigenous peoples support rights of Nature). Based on early observations, we discern an emerging trend of increased efficacy, longevity, and transformative potential being linked to a strongly pluralist approach of lawmaking and environmental management. A truly transformative and pluralist ecological jurisprudence can be achieved only by enabling, and empowering, Indigenous leadership.","container-title":"Transnational Environmental Law","DOI":"10.1017/S2047102520000242","ISSN":"2047-1025, 2047-1033","issue":"3","language":"en","page":"403-427","source":"Cambridge University Press","title":"Stop Burying the Lede: The Essential Role of Indigenous Law(s) in Creating Rights of Nature","title-short":"Stop Burying the Lede","volume":"9","author":[{"family":"O'Donnell","given":"Erin"},{"family":"Poelina","given":"Anne"},{"family":"Pelizzon","given":"Alessandro"},{"family":"Clark","given":"Cristy"}],"issued":{"date-parts":[["2020"]]}}}],"schema":"https://github.com/citation-style-language/schema/raw/master/csl-citation.json"} </w:instrText>
      </w:r>
      <w:r>
        <w:fldChar w:fldCharType="separate"/>
      </w:r>
      <w:r w:rsidR="00ED4200" w:rsidRPr="00ED4200">
        <w:rPr>
          <w:kern w:val="0"/>
        </w:rPr>
        <w:t>O’Donnell and others (n 15).</w:t>
      </w:r>
      <w:r>
        <w:fldChar w:fldCharType="end"/>
      </w:r>
    </w:p>
  </w:footnote>
  <w:footnote w:id="61">
    <w:p w14:paraId="07A03AE5" w14:textId="273B336E" w:rsidR="00D6595F" w:rsidRDefault="00D6595F">
      <w:pPr>
        <w:pStyle w:val="FootnoteText"/>
      </w:pPr>
      <w:r>
        <w:rPr>
          <w:rStyle w:val="FootnoteReference"/>
        </w:rPr>
        <w:footnoteRef/>
      </w:r>
      <w:r>
        <w:t xml:space="preserve"> White Earth Reservation Business Committee, Rights of </w:t>
      </w:r>
      <w:proofErr w:type="spellStart"/>
      <w:r>
        <w:t>Manoomin</w:t>
      </w:r>
      <w:proofErr w:type="spellEnd"/>
      <w:r>
        <w:t xml:space="preserve">, Resolution No. 001-19-010 (2018). </w:t>
      </w:r>
    </w:p>
  </w:footnote>
  <w:footnote w:id="62">
    <w:p w14:paraId="6C0A6555" w14:textId="26B1A672" w:rsidR="00AD15E0" w:rsidRDefault="00AD15E0">
      <w:pPr>
        <w:pStyle w:val="FootnoteText"/>
      </w:pPr>
      <w:r>
        <w:rPr>
          <w:rStyle w:val="FootnoteReference"/>
        </w:rPr>
        <w:footnoteRef/>
      </w:r>
      <w:r>
        <w:t xml:space="preserve"> </w:t>
      </w:r>
      <w:proofErr w:type="spellStart"/>
      <w:r w:rsidRPr="00AD15E0">
        <w:rPr>
          <w:i/>
          <w:iCs/>
        </w:rPr>
        <w:t>Manoomin</w:t>
      </w:r>
      <w:proofErr w:type="spellEnd"/>
      <w:r w:rsidRPr="00AD15E0">
        <w:rPr>
          <w:i/>
          <w:iCs/>
        </w:rPr>
        <w:t xml:space="preserve"> v. Minn. </w:t>
      </w:r>
      <w:proofErr w:type="spellStart"/>
      <w:r w:rsidRPr="00AD15E0">
        <w:rPr>
          <w:i/>
          <w:iCs/>
        </w:rPr>
        <w:t>Dep’t</w:t>
      </w:r>
      <w:proofErr w:type="spellEnd"/>
      <w:r w:rsidRPr="00AD15E0">
        <w:rPr>
          <w:i/>
          <w:iCs/>
        </w:rPr>
        <w:t xml:space="preserve"> of Nat. Res.</w:t>
      </w:r>
      <w:r w:rsidRPr="00AD15E0">
        <w:t>, No. GC21-0428 (White Earth Band of Ojibwe Tribal Ct. 4</w:t>
      </w:r>
      <w:r>
        <w:t xml:space="preserve"> August</w:t>
      </w:r>
      <w:r w:rsidRPr="00AD15E0">
        <w:t xml:space="preserve"> 2021</w:t>
      </w:r>
      <w:r>
        <w:t>).</w:t>
      </w:r>
    </w:p>
  </w:footnote>
  <w:footnote w:id="63">
    <w:p w14:paraId="1120C014" w14:textId="1E755C27" w:rsidR="00FD52FF" w:rsidRDefault="00FD52FF">
      <w:pPr>
        <w:pStyle w:val="FootnoteText"/>
      </w:pPr>
      <w:r>
        <w:rPr>
          <w:rStyle w:val="FootnoteReference"/>
        </w:rPr>
        <w:footnoteRef/>
      </w:r>
      <w:r>
        <w:t xml:space="preserve"> </w:t>
      </w:r>
      <w:r>
        <w:fldChar w:fldCharType="begin"/>
      </w:r>
      <w:r w:rsidR="00ED4200">
        <w:instrText xml:space="preserve"> ADDIN ZOTERO_ITEM CSL_CITATION {"citationID":"rVQ0IlTg","properties":{"formattedCitation":"Charles C Ragin, \\uc0\\u8216{}Qualitative Comparative Analysis Using Fuzzy Sets (fsQCA)\\uc0\\u8217{} in Beno\\uc0\\u238{}t Rihoux and Charles C Ragin (eds), {\\i{}Configurational Comparative Methods: Qualitative Comparative Analysis (QCA) and Related Techniques} (SAGE 2009) &lt;https://methods.sagepub.com/book/configurational-comparative-methods&gt;.","plainCitation":"Charles C Ragin, ‘Qualitative Comparative Analysis Using Fuzzy Sets (fsQCA)’ in Benoît Rihoux and Charles C Ragin (eds), Configurational Comparative Methods: Qualitative Comparative Analysis (QCA) and Related Techniques (SAGE 2009) &lt;https://methods.sagepub.com/book/configurational-comparative-methods&gt;.","noteIndex":62},"citationItems":[{"id":1846,"uris":["http://zotero.org/users/1464657/items/N7CB982Z"],"itemData":{"id":1846,"type":"chapter","container-title":"Configurational Comparative Methods: Qualitative Comparative Analysis (QCA) and Related Techniques","event-place":"Thousand Oaks","note":"DOI: 10.4135/9781452226569","page":"87-122","publisher":"SAGE","publisher-place":"Thousand Oaks","title":"Qualitative Comparative Analysis using Fuzzy Sets (fsQCA)","URL":"https://methods.sagepub.com/book/configurational-comparative-methods","author":[{"family":"Ragin","given":"Charles C."}],"editor":[{"family":"Rihoux","given":"Benoît"},{"family":"Ragin","given":"Charles C."}],"issued":{"date-parts":[["2009"]]}}}],"schema":"https://github.com/citation-style-language/schema/raw/master/csl-citation.json"} </w:instrText>
      </w:r>
      <w:r>
        <w:fldChar w:fldCharType="separate"/>
      </w:r>
      <w:r w:rsidRPr="00FD52FF">
        <w:rPr>
          <w:kern w:val="0"/>
        </w:rPr>
        <w:t xml:space="preserve">Charles C Ragin, ‘Qualitative Comparative Analysis Using Fuzzy Sets (fsQCA)’ in Benoît Rihoux and Charles C Ragin (eds), </w:t>
      </w:r>
      <w:r w:rsidRPr="00FD52FF">
        <w:rPr>
          <w:i/>
          <w:iCs/>
          <w:kern w:val="0"/>
        </w:rPr>
        <w:t>Configurational Comparative Methods: Qualitative Comparative Analysis (QCA) and Related Techniques</w:t>
      </w:r>
      <w:r w:rsidRPr="00FD52FF">
        <w:rPr>
          <w:kern w:val="0"/>
        </w:rPr>
        <w:t xml:space="preserve"> (SAGE 2009) &lt;https://methods.sagepub.com/book/configurational-comparative-methods&gt;.</w:t>
      </w:r>
      <w:r>
        <w:fldChar w:fldCharType="end"/>
      </w:r>
    </w:p>
  </w:footnote>
  <w:footnote w:id="64">
    <w:p w14:paraId="2A78C0F8" w14:textId="5BF9F1B3" w:rsidR="00FD52FF" w:rsidRDefault="00FD52FF">
      <w:pPr>
        <w:pStyle w:val="FootnoteText"/>
      </w:pPr>
      <w:r>
        <w:rPr>
          <w:rStyle w:val="FootnoteReference"/>
        </w:rPr>
        <w:footnoteRef/>
      </w:r>
      <w:r>
        <w:t xml:space="preserve"> </w:t>
      </w:r>
      <w:r>
        <w:fldChar w:fldCharType="begin"/>
      </w:r>
      <w:r w:rsidR="00ED4200">
        <w:instrText xml:space="preserve"> ADDIN ZOTERO_ITEM CSL_CITATION {"citationID":"HAbPJkeU","properties":{"formattedCitation":"Yossi Yovel and Oded Rechavi, \\uc0\\u8216{}AI and the Doctor Dolittle Challenge\\uc0\\u8217{} (2023) 33 Current Biology R783.","plainCitation":"Yossi Yovel and Oded Rechavi, ‘AI and the Doctor Dolittle Challenge’ (2023) 33 Current Biology R783.","noteIndex":63},"citationItems":[{"id":1815,"uris":["http://zotero.org/users/1464657/items/VRQ7SBX3"],"itemData":{"id":1815,"type":"article-journal","container-title":"Current Biology","DOI":"10.1016/j.cub.2023.06.063","ISSN":"0960-9822","issue":"15","journalAbbreviation":"Current Biology","language":"English","note":"publisher: Elsevier\nPMID: 37552937","page":"R783-R787","source":"www.cell.com","title":"AI and the Doctor Dolittle Challenge","volume":"33","author":[{"family":"Yovel","given":"Yossi"},{"family":"Rechavi","given":"Oded"}],"issued":{"date-parts":[["2023"]]}}}],"schema":"https://github.com/citation-style-language/schema/raw/master/csl-citation.json"} </w:instrText>
      </w:r>
      <w:r>
        <w:fldChar w:fldCharType="separate"/>
      </w:r>
      <w:r w:rsidRPr="00FD52FF">
        <w:rPr>
          <w:kern w:val="0"/>
        </w:rPr>
        <w:t>Yossi Yovel and Oded Rechavi, ‘AI and the Doctor Dolittle Challenge’ (2023) 33 Current Biology R783.</w:t>
      </w:r>
      <w:r>
        <w:fldChar w:fldCharType="end"/>
      </w:r>
    </w:p>
  </w:footnote>
  <w:footnote w:id="65">
    <w:p w14:paraId="5385BC59" w14:textId="4119DABD" w:rsidR="00FD52FF" w:rsidRDefault="00FD52FF">
      <w:pPr>
        <w:pStyle w:val="FootnoteText"/>
      </w:pPr>
      <w:r>
        <w:rPr>
          <w:rStyle w:val="FootnoteReference"/>
        </w:rPr>
        <w:footnoteRef/>
      </w:r>
      <w:r>
        <w:t xml:space="preserve"> </w:t>
      </w:r>
      <w:r>
        <w:fldChar w:fldCharType="begin"/>
      </w:r>
      <w:r w:rsidR="00ED4200">
        <w:instrText xml:space="preserve"> ADDIN ZOTERO_ITEM CSL_CITATION {"citationID":"HNap6vpF","properties":{"formattedCitation":"Rosemary Hill and others, \\uc0\\u8216{}Working with Indigenous, Local and Scientific Knowledge in Assessments of Nature and Nature\\uc0\\u8217{}s Linkages with People\\uc0\\u8217{} (2020) 43 Current Opinion in Environmental Sustainability 8.","plainCitation":"Rosemary Hill and others, ‘Working with Indigenous, Local and Scientific Knowledge in Assessments of Nature and Nature’s Linkages with People’ (2020) 43 Current Opinion in Environmental Sustainability 8.","noteIndex":64},"citationItems":[{"id":1814,"uris":["http://zotero.org/users/1464657/items/78YUEDYY"],"itemData":{"id":1814,"type":"article-journal","abstract":"Working with indigenous and local knowledge (ILK) is vital for inclusive assessments of nature and nature’s linkages with people. Indigenous peoples’ concepts about what constitutes sustainability, for example, differ markedly from dominant sustainability discourses. The Intergovernmental Platform on Biodiversity and Ecosystems Services (IPBES) is promoting dialogue across different knowledge systems globally. In 2017, member states of IPBES adopted an ILK Approach including: procedures for assessments of nature and nature’s linkages with people; a participatory mechanism; and institutional arrangements for including indigenous peoples and local communities. We present this Approach and analyse how it supports ILK in IPBES assessments through: respecting rights; supporting care and mutuality; strengthening communities and their knowledge systems; and supporting knowledge exchange. Customary institutions that ensure the integrity of ILK, effective empowering dialogues, and shared governance are among critical capacities that enable inclusion of diverse conceptualizations of sustainability in assessments.","collection-title":"Indigenous Conceptualizations of ‘Sustainability’","container-title":"Current Opinion in Environmental Sustainability","DOI":"10.1016/j.cosust.2019.12.006","ISSN":"1877-3435","journalAbbreviation":"Current Opinion in Environmental Sustainability","page":"8-20","source":"ScienceDirect","title":"Working with Indigenous, Local and Scientific Knowledge in Assessments of Nature and Nature’s Linkages with People","volume":"43","author":[{"family":"Hill","given":"Rosemary"},{"family":"Adem","given":"Çiğdem"},{"family":"Alangui","given":"Wilfred V"},{"family":"Molnár","given":"Zsolt"},{"family":"Aumeeruddy-Thomas","given":"Yildiz"},{"family":"Bridgewater","given":"Peter"},{"family":"Tengö","given":"Maria"},{"family":"Thaman","given":"Randy"},{"family":"Adou Yao","given":"Constant Y"},{"family":"Berkes","given":"Fikret"},{"family":"Carino","given":"Joji"},{"family":"Carneiro da Cunha","given":"Manuela"},{"family":"Diaw","given":"Mariteuw C"},{"family":"Díaz","given":"Sandra"},{"family":"Figueroa","given":"Viviana E"},{"family":"Fisher","given":"Judy"},{"family":"Hardison","given":"Preston"},{"family":"Ichikawa","given":"Kaoru"},{"family":"Kariuki","given":"Peris"},{"family":"Karki","given":"Madhav"},{"family":"Lyver","given":"Phil OB"},{"family":"Malmer","given":"Pernilla"},{"family":"Masardule","given":"Onel"},{"family":"Oteng Yeboah","given":"Alfred A"},{"family":"Pacheco","given":"Diego"},{"family":"Pataridze","given":"Tamar"},{"family":"Perez","given":"Edgar"},{"family":"Roué","given":"Michèle-Marie"},{"family":"Roba","given":"Hassan"},{"family":"Rubis","given":"Jennifer"},{"family":"Saito","given":"Osamu"},{"family":"Xue","given":"Dayuan"}],"issued":{"date-parts":[["2020"]]}}}],"schema":"https://github.com/citation-style-language/schema/raw/master/csl-citation.json"} </w:instrText>
      </w:r>
      <w:r>
        <w:fldChar w:fldCharType="separate"/>
      </w:r>
      <w:r w:rsidRPr="00FD52FF">
        <w:rPr>
          <w:kern w:val="0"/>
        </w:rPr>
        <w:t>Rosemary Hill and others, ‘Working with Indigenous, Local and Scientific Knowledge in Assessments of Nature and Nature’s Linkages with People’ (2020) 43 Current Opinion in Environmental Sustainability 8.</w:t>
      </w:r>
      <w:r>
        <w:fldChar w:fldCharType="end"/>
      </w:r>
    </w:p>
  </w:footnote>
  <w:footnote w:id="66">
    <w:p w14:paraId="00F84F09" w14:textId="1BAF8FA1" w:rsidR="00C875F2" w:rsidRDefault="00C875F2">
      <w:pPr>
        <w:pStyle w:val="FootnoteText"/>
      </w:pPr>
      <w:r>
        <w:rPr>
          <w:rStyle w:val="FootnoteReference"/>
        </w:rPr>
        <w:footnoteRef/>
      </w:r>
      <w:r>
        <w:t xml:space="preserve"> </w:t>
      </w:r>
      <w:r>
        <w:fldChar w:fldCharType="begin"/>
      </w:r>
      <w:r w:rsidR="00ED4200">
        <w:instrText xml:space="preserve"> ADDIN ZOTERO_ITEM CSL_CITATION {"citationID":"5NeY68CM","properties":{"formattedCitation":"David R Boyd, {\\i{}The Rights of Nature: A Legal Revolution That Could Save the World} (ECW 2017).","plainCitation":"David R Boyd, The Rights of Nature: A Legal Revolution That Could Save the World (ECW 2017).","noteIndex":65},"citationItems":[{"id":1616,"uris":["http://zotero.org/users/1464657/items/KAPJEQ9J"],"itemData":{"id":1616,"type":"book","event-place":"Toronto","publisher":"ECW","publisher-place":"Toronto","title":"The Rights of Nature: A Legal Revolution that Could Save the World","author":[{"family":"Boyd","given":"David R"}],"issued":{"date-parts":[["2017"]]}}}],"schema":"https://github.com/citation-style-language/schema/raw/master/csl-citation.json"} </w:instrText>
      </w:r>
      <w:r>
        <w:fldChar w:fldCharType="separate"/>
      </w:r>
      <w:r w:rsidRPr="00C875F2">
        <w:rPr>
          <w:kern w:val="0"/>
        </w:rPr>
        <w:t xml:space="preserve">David R Boyd, </w:t>
      </w:r>
      <w:r w:rsidRPr="00C875F2">
        <w:rPr>
          <w:i/>
          <w:iCs/>
          <w:kern w:val="0"/>
        </w:rPr>
        <w:t>The Rights of Nature: A Legal Revolution That Could Save the World</w:t>
      </w:r>
      <w:r w:rsidRPr="00C875F2">
        <w:rPr>
          <w:kern w:val="0"/>
        </w:rPr>
        <w:t xml:space="preserve"> (ECW 2017).</w:t>
      </w:r>
      <w:r>
        <w:fldChar w:fldCharType="end"/>
      </w:r>
    </w:p>
  </w:footnote>
  <w:footnote w:id="67">
    <w:p w14:paraId="60363C3C" w14:textId="7E6D83BD" w:rsidR="002B591C" w:rsidRDefault="002B591C">
      <w:pPr>
        <w:pStyle w:val="FootnoteText"/>
      </w:pPr>
      <w:r>
        <w:rPr>
          <w:rStyle w:val="FootnoteReference"/>
        </w:rPr>
        <w:footnoteRef/>
      </w:r>
      <w:r>
        <w:t xml:space="preserve"> </w:t>
      </w:r>
      <w:r>
        <w:fldChar w:fldCharType="begin"/>
      </w:r>
      <w:r w:rsidR="00ED4200">
        <w:instrText xml:space="preserve"> ADDIN ZOTERO_ITEM CSL_CITATION {"citationID":"yfGF1thm","properties":{"formattedCitation":"Paulo Ilich Bacca, \\uc0\\u8216{}Indigenizing International Law and Decolonizing the Anthropocene: Genocide by Ecological Means and Indigenous Nationhood in Contemporary Colombia\\uc0\\u8217{} (2019) 33 Maguar\\uc0\\u233{} 139.","plainCitation":"Paulo Ilich Bacca, ‘Indigenizing International Law and Decolonizing the Anthropocene: Genocide by Ecological Means and Indigenous Nationhood in Contemporary Colombia’ (2019) 33 Maguaré 139.","noteIndex":66},"citationItems":[{"id":1813,"uris":["http://zotero.org/users/1464657/items/SJLJLR74"],"itemData":{"id":1813,"type":"article-journal","abstract":"This article displays the idea of indigenizing international law by recognizing indigenous law as law. Transforming international law becomes possible by directing indigenous jurisprudences to it —I call this process inverse legal anthropology—. Based on inverse legal anthropology, i present a case study on the ongoing genocide of Colombian indigenous peoples in the age of the global ecology of the Anthropocene. I also explain the political consequences of valuing indigenous cosmologies regarding their territories. While mainstream representations of indigenous territories include the topographic and biologic dimensions of the earth’s surface, they forget the pluriverse of organic and inorganic beings that make and negotiate their social living together with indigenous peoples, and their ecological and spiritual relationships.","container-title":"Maguaré","DOI":"10.15446/mag.v33n2.86199","ISSN":"2256-5752","issue":"2","language":"en","license":"Derechos de autor 2020","note":"number: 2","page":"139-169","source":"revistas.unal.edu.co","title":"Indigenizing International Law and Decolonizing the Anthropocene: Genocide by Ecological Means and Indigenous Nationhood in Contemporary Colombia","title-short":"Indigenizing International Law and Decolonizing the Anthropocene","volume":"33","author":[{"family":"Bacca","given":"Paulo Ilich"}],"issued":{"date-parts":[["2019"]]}}}],"schema":"https://github.com/citation-style-language/schema/raw/master/csl-citation.json"} </w:instrText>
      </w:r>
      <w:r>
        <w:fldChar w:fldCharType="separate"/>
      </w:r>
      <w:r w:rsidRPr="002B591C">
        <w:rPr>
          <w:kern w:val="0"/>
        </w:rPr>
        <w:t>Paulo Ilich Bacca, ‘Indigenizing International Law and Decolonizing the Anthropocene: Genocide by Ecological Means and Indigenous Nationhood in Contemporary Colombia’ (2019) 33 Maguaré 139.</w:t>
      </w:r>
      <w:r>
        <w:fldChar w:fldCharType="end"/>
      </w:r>
    </w:p>
  </w:footnote>
  <w:footnote w:id="68">
    <w:p w14:paraId="49FBEF67" w14:textId="2D044FE9" w:rsidR="002B591C" w:rsidRDefault="002B591C">
      <w:pPr>
        <w:pStyle w:val="FootnoteText"/>
      </w:pPr>
      <w:r>
        <w:rPr>
          <w:rStyle w:val="FootnoteReference"/>
        </w:rPr>
        <w:footnoteRef/>
      </w:r>
      <w:r>
        <w:t xml:space="preserve"> </w:t>
      </w:r>
      <w:r>
        <w:fldChar w:fldCharType="begin"/>
      </w:r>
      <w:r w:rsidR="003360F1">
        <w:instrText xml:space="preserve"> ADDIN ZOTERO_ITEM CSL_CITATION {"citationID":"Q9zIDICK","properties":{"formattedCitation":"Ant\\uc0\\u243{}nio Carvalho and Mariana Riquito, \\uc0\\u8216{}Listening-with the Subaltern: Anthropocene, Pluriverse and More-than-Human Agency\\uc0\\u8217{} (2022) 51 Nordia Geographical Publications 37; Farai Chipato and David Chandler, \\uc0\\u8216{}The Black Horizon: Alterity and Ontology in the Anthropocene\\uc0\\u8217{} (2023) 37 Global Society 157.","plainCitation":"António Carvalho and Mariana Riquito, ‘Listening-with the Subaltern: Anthropocene, Pluriverse and More-than-Human Agency’ (2022) 51 Nordia Geographical Publications 37; Farai Chipato and David Chandler, ‘The Black Horizon: Alterity and Ontology in the Anthropocene’ (2023) 37 Global Society 157.","noteIndex":68},"citationItems":[{"id":1844,"uris":["http://zotero.org/users/1464657/items/GP27YB5R"],"itemData":{"id":1844,"type":"article-journal","container-title":"Nordia Geographical Publications","DOI":"10.30671/nordia.107404","issue":"2","page":"37-56","title":"Listening-with the Subaltern: Anthropocene, Pluriverse and More-than-human Agency","volume":"51","author":[{"family":"Carvalho","given":"António"},{"family":"Riquito","given":"Mariana"}],"issued":{"date-parts":[["2022"]]}}},{"id":1812,"uris":["http://zotero.org/users/1464657/items/L47LBWFF"],"itemData":{"id":1812,"type":"article-journal","abstract":"This paper makes the case for an approach to International Relations in the Anthropocene, which draws upon resources from critical Black studies. This distinctive perspective is set out in comparison to two, more familiar, sets of critical Anthropocene thought, that have been influential in contemporary discussions of global politics. We heuristically frame these as the “Planetary” - a focus on ontology and vibrant and unruly materiality – and the “Pluriversal” - which places race and coloniality at the centre of our understanding of power and knowledge. We suggest that Planetary approaches underestimate the centrality of race and coloniality to questions of ontology and that Pluriversal approaches are often undermined by a failure to take ontology more seriously. These literatures are opposed to a third perspective, which we call the “Black Horizon”, which troubles our approach to alterity and works with a non- or para-ontological understanding of being.","container-title":"Global Society","DOI":"10.1080/13600826.2022.2110041","ISSN":"1360-0826","issue":"2","note":"publisher: Routledge\n_eprint: https://doi.org/10.1080/13600826.2022.2110041","page":"157-175","source":"Taylor and Francis+NEJM","title":"The Black Horizon: Alterity and Ontology in the Anthropocene","title-short":"The Black Horizon","volume":"37","author":[{"family":"Chipato","given":"Farai"},{"family":"Chandler","given":"David"}],"issued":{"date-parts":[["2023"]]}}}],"schema":"https://github.com/citation-style-language/schema/raw/master/csl-citation.json"} </w:instrText>
      </w:r>
      <w:r>
        <w:fldChar w:fldCharType="separate"/>
      </w:r>
      <w:r w:rsidRPr="002B591C">
        <w:rPr>
          <w:kern w:val="0"/>
        </w:rPr>
        <w:t>António Carvalho and Mariana Riquito, ‘Listening-with the Subaltern: Anthropocene, Pluriverse and More-than-Human Agency’ (2022) 51 Nordia Geographical Publications 37; Farai Chipato and David Chandler, ‘The Black Horizon: Alterity and Ontology in the Anthropocene’ (2023) 37 Global Society 157.</w:t>
      </w:r>
      <w:r>
        <w:fldChar w:fldCharType="end"/>
      </w:r>
    </w:p>
  </w:footnote>
  <w:footnote w:id="69">
    <w:p w14:paraId="574B42C2" w14:textId="62B98BE0" w:rsidR="00AA4FF3" w:rsidRDefault="00AA4FF3">
      <w:pPr>
        <w:pStyle w:val="FootnoteText"/>
      </w:pPr>
      <w:r>
        <w:rPr>
          <w:rStyle w:val="FootnoteReference"/>
        </w:rPr>
        <w:footnoteRef/>
      </w:r>
      <w:r>
        <w:t xml:space="preserve"> </w:t>
      </w:r>
      <w:r>
        <w:fldChar w:fldCharType="begin"/>
      </w:r>
      <w:r w:rsidR="00ED4200">
        <w:instrText xml:space="preserve"> ADDIN ZOTERO_ITEM CSL_CITATION {"citationID":"1SeGHP6P","properties":{"formattedCitation":"Jeremy J Schmidt, Peter G Brown and Christopher J Orr, \\uc0\\u8216{}Ethics in the Anthropocene: A Research Agenda\\uc0\\u8217{} (2016) 3 The Anthropocene Review 188; Arne Johan Vetlesen, \\uc0\\u8216{}Ethics in the Anthropocene: The Case for Questioning Anthropocentrism\\uc0\\u8217{} (2023) 30 Constellations 153.","plainCitation":"Jeremy J Schmidt, Peter G Brown and Christopher J Orr, ‘Ethics in the Anthropocene: A Research Agenda’ (2016) 3 The Anthropocene Review 188; Arne Johan Vetlesen, ‘Ethics in the Anthropocene: The Case for Questioning Anthropocentrism’ (2023) 30 Constellations 153.","noteIndex":68},"citationItems":[{"id":1811,"uris":["http://zotero.org/users/1464657/items/7NZP9KCZ"],"itemData":{"id":1811,"type":"article-journal","abstract":"The quantitative evidence of human impacts on the Earth System has produced new calls for planetary stewardship. At the same time, numerous scholars reject modern social sciences by claiming that the Anthropocene fundamentally changes the human condition. However, we cannot simply dismiss all previous forms of cultural learning or transmission. Instead, this paper examines ethics in the Anthropocene, and specifically what it implies for: (1) reassessing our normative systems in view of human impacts on the Earth System; (2) identifying novel ethical problems in the Anthropocene; and (3) repositioning traditional issues concerning fairness and environmental ethics. It concludes by situating ethics within the challenge of connecting multiple social worlds to a shared view of human and Earth histories and calls for renewed engagement with ethics.","container-title":"The Anthropocene Review","DOI":"10.1177/2053019616662052","ISSN":"2053-0196","issue":"3","language":"en","note":"publisher: SAGE Publications","page":"188-200","source":"SAGE Journals","title":"Ethics in the Anthropocene: A Research Agenda","title-short":"Ethics in the Anthropocene","volume":"3","author":[{"family":"Schmidt","given":"Jeremy J"},{"family":"Brown","given":"Peter G"},{"family":"Orr","given":"Christopher J"}],"issued":{"date-parts":[["2016"]]}}},{"id":1810,"uris":["http://zotero.org/users/1464657/items/JYYC43VS"],"itemData":{"id":1810,"type":"article-journal","container-title":"Constellations","DOI":"10.1111/1467-8675.12685","ISSN":"1467-8675","issue":"2","language":"en","license":"© 2023 John Wiley &amp; Sons Ltd.","note":"_eprint: https://onlinelibrary.wiley.com/doi/pdf/10.1111/1467-8675.12685","page":"153-161","source":"Wiley Online Library","title":"Ethics in the Anthropocene: The case for Questioning Anthropocentrism","title-short":"Ethics in the Anthropocene","volume":"30","author":[{"family":"Vetlesen","given":"Arne Johan"}],"issued":{"date-parts":[["2023"]]}}}],"schema":"https://github.com/citation-style-language/schema/raw/master/csl-citation.json"} </w:instrText>
      </w:r>
      <w:r>
        <w:fldChar w:fldCharType="separate"/>
      </w:r>
      <w:r w:rsidRPr="00AA4FF3">
        <w:rPr>
          <w:kern w:val="0"/>
        </w:rPr>
        <w:t>Jeremy J Schmidt, Peter G Brown and Christopher J Orr, ‘Ethics in the Anthropocene: A Research Agenda’ (2016) 3 The Anthropocene Review 188; Arne Johan Vetlesen, ‘Ethics in the Anthropocene: The Case for Questioning Anthropocentrism’ (2023) 30 Constellations 153.</w:t>
      </w:r>
      <w:r>
        <w:fldChar w:fldCharType="end"/>
      </w:r>
    </w:p>
  </w:footnote>
  <w:footnote w:id="70">
    <w:p w14:paraId="752C63DF" w14:textId="0DC5AF58" w:rsidR="008B6553" w:rsidRDefault="008B6553">
      <w:pPr>
        <w:pStyle w:val="FootnoteText"/>
      </w:pPr>
      <w:r>
        <w:rPr>
          <w:rStyle w:val="FootnoteReference"/>
        </w:rPr>
        <w:footnoteRef/>
      </w:r>
      <w:r>
        <w:t xml:space="preserve"> </w:t>
      </w:r>
      <w:r>
        <w:fldChar w:fldCharType="begin"/>
      </w:r>
      <w:r w:rsidR="00ED4200">
        <w:instrText xml:space="preserve"> ADDIN ZOTERO_ITEM CSL_CITATION {"citationID":"3V2ig6DA","properties":{"formattedCitation":"Danielle Celermajer and others, \\uc0\\u8216{}Multispecies Justice: Theories, Challenges, and a Research Agenda for Environmental Politics\\uc0\\u8217{} (2021) 30 Environmental Politics 119.","plainCitation":"Danielle Celermajer and others, ‘Multispecies Justice: Theories, Challenges, and a Research Agenda for Environmental Politics’ (2021) 30 Environmental Politics 119.","noteIndex":69},"citationItems":[{"id":1809,"uris":["http://zotero.org/users/1464657/items/5VT625GD"],"itemData":{"id":1809,"type":"article-journal","abstract":"This essay seeks to open a conversation about multispecies justice in environmental politics. It sets out some of the theoretical approaches, key areas of exploration, and obvious challenges that come with rethinking a core plank of liberal theory and politics. First, we discuss some of the diverse scholarly fields that have influenced the emergence of multispecies justice. We then discuss core concerns at the centre of this reconfiguration of justice – including broadening conceptions of the subject of justice and the means and processes of recognition (and misrecognition). The importance of deconstructing and decolonising the hegemony of liberal political discourse is crucial, and is part of a larger project for multispecies justice to rework a politics of knowledge and practice of political communication. Finally, we begin to explore what a commitment to multispecies justice might demand of politics and policy.","container-title":"Environmental Politics","DOI":"10.1080/09644016.2020.1827608","ISSN":"0964-4016","issue":"1-2","note":"publisher: Routledge\n_eprint: https://doi.org/10.1080/09644016.2020.1827608","page":"119-140","source":"Taylor and Francis+NEJM","title":"Multispecies Justice: Theories, Challenges, and a Research Agenda for Environmental Politics","title-short":"Multispecies justice","volume":"30","author":[{"family":"Celermajer","given":"Danielle"},{"family":"Schlosberg","given":"David"},{"family":"Rickards","given":"Lauren"},{"family":"Stewart-Harawira","given":"Makere"},{"family":"Thaler","given":"Mathias"},{"family":"Tschakert","given":"Petra"},{"family":"Verlie","given":"Blanche"},{"family":"Winter","given":"Christine"}],"issued":{"date-parts":[["2021"]]}}}],"schema":"https://github.com/citation-style-language/schema/raw/master/csl-citation.json"} </w:instrText>
      </w:r>
      <w:r>
        <w:fldChar w:fldCharType="separate"/>
      </w:r>
      <w:r w:rsidRPr="008B6553">
        <w:rPr>
          <w:kern w:val="0"/>
        </w:rPr>
        <w:t>Danielle Celermajer and others, ‘Multispecies Justice: Theories, Challenges, and a Research Agenda for Environmental Politics’ (2021) 30 Environmental Politics 119.</w:t>
      </w:r>
      <w:r>
        <w:fldChar w:fldCharType="end"/>
      </w:r>
    </w:p>
  </w:footnote>
  <w:footnote w:id="71">
    <w:p w14:paraId="72C62047" w14:textId="23CA0CE4" w:rsidR="004F786A" w:rsidRDefault="004F786A">
      <w:pPr>
        <w:pStyle w:val="FootnoteText"/>
      </w:pPr>
      <w:r>
        <w:rPr>
          <w:rStyle w:val="FootnoteReference"/>
        </w:rPr>
        <w:footnoteRef/>
      </w:r>
      <w:r>
        <w:t xml:space="preserve"> </w:t>
      </w:r>
      <w:r>
        <w:fldChar w:fldCharType="begin"/>
      </w:r>
      <w:r w:rsidR="00ED4200">
        <w:instrText xml:space="preserve"> ADDIN ZOTERO_ITEM CSL_CITATION {"citationID":"TIbYZEDd","properties":{"formattedCitation":"Rafi Youatt, \\uc0\\u8216{}Personhood and the Rights of Nature: The New Subjects of Contemporary Earth Politics\\uc0\\u8217{} (2017) 11 International Political Sociology 39.","plainCitation":"Rafi Youatt, ‘Personhood and the Rights of Nature: The New Subjects of Contemporary Earth Politics’ (2017) 11 International Political Sociology 39.","noteIndex":70},"citationItems":[{"id":1808,"uris":["http://zotero.org/users/1464657/items/W8P9DS2T"],"itemData":{"id":1808,"type":"article-journal","abstract":"This article evaluates the emergence of rights for nature in global politics, focusing particularly on questions surrounding the politics and ontology of collec","container-title":"International Political Sociology","DOI":"10.1093/ips/olw032","ISSN":"1749-5679","issue":"1","journalAbbreviation":"Int Polit Sociol","language":"en","page":"39-54","source":"academic-oup-com.dax.lib.unf.edu","title":"Personhood and the Rights of Nature: The New Subjects of Contemporary Earth Politics","title-short":"Personhood and the Rights of Nature","volume":"11","author":[{"family":"Youatt","given":"Rafi"}],"issued":{"date-parts":[["2017"]]}}}],"schema":"https://github.com/citation-style-language/schema/raw/master/csl-citation.json"} </w:instrText>
      </w:r>
      <w:r>
        <w:fldChar w:fldCharType="separate"/>
      </w:r>
      <w:r w:rsidRPr="004F786A">
        <w:rPr>
          <w:kern w:val="0"/>
        </w:rPr>
        <w:t>Rafi Youatt, ‘Personhood and the Rights of Nature: The New Subjects of Contemporary Earth Politics’ (2017) 11 International Political Sociology 39.</w:t>
      </w:r>
      <w:r>
        <w:fldChar w:fldCharType="end"/>
      </w:r>
    </w:p>
  </w:footnote>
  <w:footnote w:id="72">
    <w:p w14:paraId="5553022A" w14:textId="0F1706C9" w:rsidR="00DF2F5A" w:rsidRDefault="00DF2F5A">
      <w:pPr>
        <w:pStyle w:val="FootnoteText"/>
      </w:pPr>
      <w:r>
        <w:rPr>
          <w:rStyle w:val="FootnoteReference"/>
        </w:rPr>
        <w:footnoteRef/>
      </w:r>
      <w:r>
        <w:t xml:space="preserve"> </w:t>
      </w:r>
      <w:r>
        <w:fldChar w:fldCharType="begin"/>
      </w:r>
      <w:r w:rsidR="00ED4200">
        <w:instrText xml:space="preserve"> ADDIN ZOTERO_ITEM CSL_CITATION {"citationID":"8rbG8KoF","properties":{"formattedCitation":"Gary Brierley and others, \\uc0\\u8216{}A Geomorphic Perspective on the Rights of the River in Aotearoa New Zealand\\uc0\\u8217{} (2019) 35 River Research and Applications 1640.","plainCitation":"Gary Brierley and others, ‘A Geomorphic Perspective on the Rights of the River in Aotearoa New Zealand’ (2019) 35 River Research and Applications 1640.","noteIndex":71},"citationItems":[{"id":1807,"uris":["http://zotero.org/users/1464657/items/J9S4SWIW"],"itemData":{"id":1807,"type":"article-journal","abstract":"The granting of rights to the Whanganui River in 2017 emerged as an outcome of Tribunal hearings relating to breaches of the Treaty of Waitangi, signed between Māori chiefs and the British Crown in 1840. As this expression of a river as having legal personhood with rights reflects a distinctively Māori perspective upon river systems, it offers the prospect for a new era of sociocultural approaches to river management in Aotearoa New Zealand. Using the Whanganui River as a case study, this paper explores prospective geomorphic meanings of river rights. The paper asks, “What role can geomorphology play in identifying, articulating and protecting the rights of a river?” Ancestral Māori relations to the river based upon mutual codependence (reciprocity) are juxtaposed against geomorphic understandings of a river's agency as expressed through self-adjustment, diversity of form, evolution, and catchment-scale connectivities. Relations between river science and indigenous concepts of rivers, framed under the auspices of river rights, present opportunities for different approaches to river management.","container-title":"River Research and Applications","DOI":"10.1002/rra.3343","ISSN":"1535-1467","issue":"10","language":"en","license":"© 2018 John Wiley &amp; Sons, Ltd.","note":"_eprint: https://onlinelibrary.wiley.com/doi/pdf/10.1002/rra.3343","page":"1640-1651","source":"Wiley Online Library","title":"A Geomorphic Perspective on the Rights of the River in Aotearoa New Zealand","volume":"35","author":[{"family":"Brierley","given":"Gary"},{"family":"Tadaki","given":"Marc"},{"family":"Hikuroa","given":"Dan"},{"family":"Blue","given":"Brendon"},{"family":"Šunde","given":"Charlotte"},{"family":"Tunnicliffe","given":"Jon"},{"family":"Salmond","given":"Anne"}],"issued":{"date-parts":[["2019"]]}}}],"schema":"https://github.com/citation-style-language/schema/raw/master/csl-citation.json"} </w:instrText>
      </w:r>
      <w:r>
        <w:fldChar w:fldCharType="separate"/>
      </w:r>
      <w:r w:rsidRPr="00DF2F5A">
        <w:rPr>
          <w:kern w:val="0"/>
        </w:rPr>
        <w:t>Gary Brierley and others, ‘A Geomorphic Perspective on the Rights of the River in Aotearoa New Zealand’ (2019) 35 River Research and Applications 1640.</w:t>
      </w:r>
      <w:r>
        <w:fldChar w:fldCharType="end"/>
      </w:r>
    </w:p>
  </w:footnote>
  <w:footnote w:id="73">
    <w:p w14:paraId="01A6B0A6" w14:textId="394D6A18" w:rsidR="00F261DA" w:rsidRDefault="00F261DA">
      <w:pPr>
        <w:pStyle w:val="FootnoteText"/>
      </w:pPr>
      <w:r>
        <w:rPr>
          <w:rStyle w:val="FootnoteReference"/>
        </w:rPr>
        <w:footnoteRef/>
      </w:r>
      <w:r>
        <w:t xml:space="preserve"> </w:t>
      </w:r>
      <w:r>
        <w:fldChar w:fldCharType="begin"/>
      </w:r>
      <w:r w:rsidR="00ED4200">
        <w:instrText xml:space="preserve"> ADDIN ZOTERO_ITEM CSL_CITATION {"citationID":"OJTUVeqY","properties":{"formattedCitation":"John Law, \\uc0\\u8216{}What\\uc0\\u8217{}s Wrong with a One-World World?\\uc0\\u8217{} (2015) 16 Distinktion: Scandinavian Journal of Social Theory 126.","plainCitation":"John Law, ‘What’s Wrong with a One-World World?’ (2015) 16 Distinktion: Scandinavian Journal of Social Theory 126.","noteIndex":72},"citationItems":[{"id":1941,"uris":["http://zotero.org/users/1464657/items/82YSYUB7"],"itemData":{"id":1941,"type":"article-journal","container-title":"Distinktion: Scandinavian Journal of Social Theory","DOI":"10.1080/1600910X.2015.1020066","issue":"1","page":"126-139","title":"What's Wrong with a One-World World?","volume":"16","author":[{"family":"Law","given":"John"}],"issued":{"date-parts":[["2015"]]}}}],"schema":"https://github.com/citation-style-language/schema/raw/master/csl-citation.json"} </w:instrText>
      </w:r>
      <w:r>
        <w:fldChar w:fldCharType="separate"/>
      </w:r>
      <w:r w:rsidRPr="00F261DA">
        <w:rPr>
          <w:kern w:val="0"/>
        </w:rPr>
        <w:t>John Law, ‘What’s Wrong with a One-World World?’ (2015) 16 Distinktion: Scandinavian Journal of Social Theory 126.</w:t>
      </w:r>
      <w:r>
        <w:fldChar w:fldCharType="end"/>
      </w:r>
    </w:p>
  </w:footnote>
  <w:footnote w:id="74">
    <w:p w14:paraId="393BD77D" w14:textId="6A42EFFD" w:rsidR="00F261DA" w:rsidRDefault="00F261DA">
      <w:pPr>
        <w:pStyle w:val="FootnoteText"/>
      </w:pPr>
      <w:r>
        <w:rPr>
          <w:rStyle w:val="FootnoteReference"/>
        </w:rPr>
        <w:footnoteRef/>
      </w:r>
      <w:r>
        <w:t xml:space="preserve"> </w:t>
      </w:r>
      <w:r>
        <w:fldChar w:fldCharType="begin"/>
      </w:r>
      <w:r w:rsidR="00ED4200">
        <w:instrText xml:space="preserve"> ADDIN ZOTERO_ITEM CSL_CITATION {"citationID":"m9RlM9Xd","properties":{"formattedCitation":"Arturo Escobar, {\\i{}Pluriversal Politics: The Real and the Possible} (David Frye tr, Duke University Press 2020).","plainCitation":"Arturo Escobar, Pluriversal Politics: The Real and the Possible (David Frye tr, Duke University Press 2020).","noteIndex":73},"citationItems":[{"id":110,"uris":["http://zotero.org/users/1464657/items/4GX6C3WS"],"itemData":{"id":110,"type":"book","event-place":"Durham","publisher":"Duke University Press","publisher-place":"Durham","title":"Pluriversal Politics: The Real and the Possible","author":[{"family":"Escobar","given":"Arturo"}],"translator":[{"family":"Frye","given":"David"}],"issued":{"date-parts":[["2020"]]}}}],"schema":"https://github.com/citation-style-language/schema/raw/master/csl-citation.json"} </w:instrText>
      </w:r>
      <w:r>
        <w:fldChar w:fldCharType="separate"/>
      </w:r>
      <w:r w:rsidRPr="00F261DA">
        <w:rPr>
          <w:kern w:val="0"/>
        </w:rPr>
        <w:t xml:space="preserve">Arturo Escobar, </w:t>
      </w:r>
      <w:r w:rsidRPr="00F261DA">
        <w:rPr>
          <w:i/>
          <w:iCs/>
          <w:kern w:val="0"/>
        </w:rPr>
        <w:t>Pluriversal Politics: The Real and the Possible</w:t>
      </w:r>
      <w:r w:rsidRPr="00F261DA">
        <w:rPr>
          <w:kern w:val="0"/>
        </w:rPr>
        <w:t xml:space="preserve"> (David Frye tr, Duke University Press 2020).</w:t>
      </w:r>
      <w:r>
        <w:fldChar w:fldCharType="end"/>
      </w:r>
    </w:p>
  </w:footnote>
  <w:footnote w:id="75">
    <w:p w14:paraId="140684F7" w14:textId="211FFCF2" w:rsidR="000E7A17" w:rsidRDefault="000E7A17">
      <w:pPr>
        <w:pStyle w:val="FootnoteText"/>
      </w:pPr>
      <w:r>
        <w:rPr>
          <w:rStyle w:val="FootnoteReference"/>
        </w:rPr>
        <w:footnoteRef/>
      </w:r>
      <w:r>
        <w:t xml:space="preserve"> </w:t>
      </w:r>
      <w:r>
        <w:fldChar w:fldCharType="begin"/>
      </w:r>
      <w:r w:rsidR="00ED4200">
        <w:instrText xml:space="preserve"> ADDIN ZOTERO_ITEM CSL_CITATION {"citationID":"qzjeNF2A","properties":{"formattedCitation":"Robin Wall Kimmerer, {\\i{}Braiding Sweetgrass: Indigenous Wisdom, Scientific Knowledge, and the Teachings of Plants} (Milkweed Editions 2013) 51.","plainCitation":"Robin Wall Kimmerer, Braiding Sweetgrass: Indigenous Wisdom, Scientific Knowledge, and the Teachings of Plants (Milkweed Editions 2013) 51.","noteIndex":74},"citationItems":[{"id":1842,"uris":["http://zotero.org/users/1464657/items/VMLNVGLR"],"itemData":{"id":1842,"type":"book","event-place":"Minneapolis","publisher":"Milkweed Editions","publisher-place":"Minneapolis","title":"Braiding Sweetgrass: Indigenous Wisdom, Scientific Knowledge, and the Teachings of Plants","author":[{"family":"Kimmerer","given":"Robin Wall"}],"issued":{"date-parts":[["2013"]]}},"locator":"51","label":"page"}],"schema":"https://github.com/citation-style-language/schema/raw/master/csl-citation.json"} </w:instrText>
      </w:r>
      <w:r>
        <w:fldChar w:fldCharType="separate"/>
      </w:r>
      <w:r w:rsidRPr="000E7A17">
        <w:rPr>
          <w:kern w:val="0"/>
        </w:rPr>
        <w:t xml:space="preserve">Robin Wall Kimmerer, </w:t>
      </w:r>
      <w:r w:rsidRPr="000E7A17">
        <w:rPr>
          <w:i/>
          <w:iCs/>
          <w:kern w:val="0"/>
        </w:rPr>
        <w:t>Braiding Sweetgrass: Indigenous Wisdom, Scientific Knowledge, and the Teachings of Plants</w:t>
      </w:r>
      <w:r w:rsidRPr="000E7A17">
        <w:rPr>
          <w:kern w:val="0"/>
        </w:rPr>
        <w:t xml:space="preserve"> (Milkweed Editions 2013) 51.</w:t>
      </w:r>
      <w:r>
        <w:fldChar w:fldCharType="end"/>
      </w:r>
    </w:p>
  </w:footnote>
  <w:footnote w:id="76">
    <w:p w14:paraId="4AAE1EC0" w14:textId="0A47A317" w:rsidR="00457201" w:rsidRDefault="00457201">
      <w:pPr>
        <w:pStyle w:val="FootnoteText"/>
      </w:pPr>
      <w:r>
        <w:rPr>
          <w:rStyle w:val="FootnoteReference"/>
        </w:rPr>
        <w:footnoteRef/>
      </w:r>
      <w:r>
        <w:t xml:space="preserve"> </w:t>
      </w:r>
      <w:r>
        <w:fldChar w:fldCharType="begin"/>
      </w:r>
      <w:r w:rsidR="00ED4200">
        <w:instrText xml:space="preserve"> ADDIN ZOTERO_ITEM CSL_CITATION {"citationID":"aQhoqfTb","properties":{"formattedCitation":"HLA Hart, {\\i{}The Concept of Law} (2nd edn, Oxford University Press 1994) 81.","plainCitation":"HLA Hart, The Concept of Law (2nd edn, Oxford University Press 1994) 81.","noteIndex":75},"citationItems":[{"id":1843,"uris":["http://zotero.org/users/1464657/items/T5DZHVUV"],"itemData":{"id":1843,"type":"book","edition":"2nd","event-place":"Oxford","publisher":"Oxford University Press","publisher-place":"Oxford","title":"The Concept of Law","author":[{"family":"Hart","given":"H.L.A."}],"issued":{"date-parts":[["1994"]]}},"locator":"81","label":"page"}],"schema":"https://github.com/citation-style-language/schema/raw/master/csl-citation.json"} </w:instrText>
      </w:r>
      <w:r>
        <w:fldChar w:fldCharType="separate"/>
      </w:r>
      <w:r w:rsidRPr="00457201">
        <w:rPr>
          <w:kern w:val="0"/>
        </w:rPr>
        <w:t xml:space="preserve">HLA Hart, </w:t>
      </w:r>
      <w:r w:rsidRPr="00457201">
        <w:rPr>
          <w:i/>
          <w:iCs/>
          <w:kern w:val="0"/>
        </w:rPr>
        <w:t>The Concept of Law</w:t>
      </w:r>
      <w:r w:rsidRPr="00457201">
        <w:rPr>
          <w:kern w:val="0"/>
        </w:rPr>
        <w:t xml:space="preserve"> (2nd edn, Oxford University Press 1994) 81.</w:t>
      </w:r>
      <w:r>
        <w:fldChar w:fldCharType="end"/>
      </w:r>
    </w:p>
  </w:footnote>
  <w:footnote w:id="77">
    <w:p w14:paraId="2B83C55D" w14:textId="71FDEDC0" w:rsidR="00D07CB4" w:rsidRPr="0027260D" w:rsidRDefault="00D07CB4">
      <w:pPr>
        <w:pStyle w:val="FootnoteText"/>
        <w:rPr>
          <w:lang w:val="en-GB"/>
        </w:rPr>
      </w:pPr>
      <w:r>
        <w:rPr>
          <w:rStyle w:val="FootnoteReference"/>
        </w:rPr>
        <w:footnoteRef/>
      </w:r>
      <w:r w:rsidRPr="0083594A">
        <w:rPr>
          <w:lang w:val="de-DE"/>
        </w:rPr>
        <w:t xml:space="preserve"> </w:t>
      </w:r>
      <w:r>
        <w:fldChar w:fldCharType="begin"/>
      </w:r>
      <w:r w:rsidR="003360F1">
        <w:rPr>
          <w:lang w:val="de-DE"/>
        </w:rPr>
        <w:instrText xml:space="preserve"> ADDIN ZOTERO_ITEM CSL_CITATION {"citationID":"WwkIP7CQ","properties":{"formattedCitation":"Iv\\uc0\\u225{}n Dar\\uc0\\u237{}o Vargas Roncancio, \\uc0\\u8216{}Conjuring Sentient Beings and Relations in the Law: Rights of Nature and a Comparative Praxis of Legal Cosmologies in Latin America\\uc0\\u8217{} in Kirsten Anker and others (eds), {\\i{}From Environmental to Ecological Law} (Routledge 2020) 120.","plainCitation":"Iván Darío Vargas Roncancio, ‘Conjuring Sentient Beings and Relations in the Law: Rights of Nature and a Comparative Praxis of Legal Cosmologies in Latin America’ in Kirsten Anker and others (eds), From Environmental to Ecological Law (Routledge 2020) 120.","noteIndex":77},"citationItems":[{"id":1806,"uris":["http://zotero.org/users/1464657/items/LXCQSDUN"],"itemData":{"id":1806,"type":"chapter","abstract":"Recent norms and judicial decisions on the Rights of Nature (RON) place life at the center of legal discourse in Latin America. This “legal revolution” thus purports to upend the paradigm of solely human legal subjectivity in recognizing the personhood of nature. Nevertheless, the RON approach seems to depend on an assumption that the form of law is primarily linguistic and propositional. In this way, it reveals another critical assumption: that law is a system of norms made by humans to regulate human conduct in relation to an externally existing natural world, thereby insisting on a separation between law and life processes. This chapter argues that recognizing nature as a legal person and subject of rights falls short if law is understood as a matter of human language only and nature is understood as an adequate conception of cosmological interdependencies between “all that exists.” The thesis of law as language seems to reinforce a much-contested rift between mind and body, culture and nature, among other boundary-making notions at the root of modern thought and practice. In what sense, then, could conjuring other-than-human beings as agents of legal meaning, rather than mere recipients of state-sanctioned rights, transform what we mean by law and RON in Latin America?","container-title":"From Environmental to Ecological Law","event-place":"Abingdon, Oxon","ISBN":"978-1-00-300125-6","note":"number-of-pages: 16","page":"119-134","publisher":"Routledge","publisher-place":"Abingdon, Oxon","title":"Conjuring Sentient Beings and Relations in the Law: Rights of Nature and a Comparative Praxis of Legal Cosmologies in Latin America","title-short":"Conjuring sentient beings and relations in the law","author":[{"family":"Vargas Roncancio","given":"Iván Darío"}],"editor":[{"family":"Anker","given":"Kirsten"},{"family":"Burdon","given":"Peter D."},{"family":"Garver","given":"Geoffrey"},{"family":"Maloney","given":"Michelle"},{"family":"Sbert","given":"Carla"}],"issued":{"date-parts":[["2020"]]}},"locator":"120","label":"page"}],"schema":"https://github.com/citation-style-language/schema/raw/master/csl-citation.json"} </w:instrText>
      </w:r>
      <w:r>
        <w:fldChar w:fldCharType="separate"/>
      </w:r>
      <w:r w:rsidRPr="0027260D">
        <w:rPr>
          <w:kern w:val="0"/>
          <w:lang w:val="en-GB"/>
        </w:rPr>
        <w:t xml:space="preserve">Iván Darío Vargas Roncancio, ‘Conjuring Sentient Beings and Relations in the Law: Rights of Nature and a Comparative Praxis of Legal Cosmologies in Latin America’ in Kirsten Anker and others (eds), </w:t>
      </w:r>
      <w:r w:rsidRPr="0027260D">
        <w:rPr>
          <w:i/>
          <w:iCs/>
          <w:kern w:val="0"/>
          <w:lang w:val="en-GB"/>
        </w:rPr>
        <w:t>From Environmental to Ecological Law</w:t>
      </w:r>
      <w:r w:rsidRPr="0027260D">
        <w:rPr>
          <w:kern w:val="0"/>
          <w:lang w:val="en-GB"/>
        </w:rPr>
        <w:t xml:space="preserve"> (Routledge 2020) 120.</w:t>
      </w:r>
      <w:r>
        <w:fldChar w:fldCharType="end"/>
      </w:r>
    </w:p>
  </w:footnote>
  <w:footnote w:id="78">
    <w:p w14:paraId="7B52D343" w14:textId="4534735E" w:rsidR="00D07CB4" w:rsidRDefault="00D07CB4">
      <w:pPr>
        <w:pStyle w:val="FootnoteText"/>
      </w:pPr>
      <w:r>
        <w:rPr>
          <w:rStyle w:val="FootnoteReference"/>
        </w:rPr>
        <w:footnoteRef/>
      </w:r>
      <w:r>
        <w:t xml:space="preserve"> </w:t>
      </w:r>
      <w:r>
        <w:fldChar w:fldCharType="begin"/>
      </w:r>
      <w:r w:rsidR="003360F1">
        <w:instrText xml:space="preserve"> ADDIN ZOTERO_ITEM CSL_CITATION {"citationID":"FWI3AB1A","properties":{"formattedCitation":"ibid 130.","plainCitation":"ibid 130.","noteIndex":78},"citationItems":[{"id":1806,"uris":["http://zotero.org/users/1464657/items/LXCQSDUN"],"itemData":{"id":1806,"type":"chapter","abstract":"Recent norms and judicial decisions on the Rights of Nature (RON) place life at the center of legal discourse in Latin America. This “legal revolution” thus purports to upend the paradigm of solely human legal subjectivity in recognizing the personhood of nature. Nevertheless, the RON approach seems to depend on an assumption that the form of law is primarily linguistic and propositional. In this way, it reveals another critical assumption: that law is a system of norms made by humans to regulate human conduct in relation to an externally existing natural world, thereby insisting on a separation between law and life processes. This chapter argues that recognizing nature as a legal person and subject of rights falls short if law is understood as a matter of human language only and nature is understood as an adequate conception of cosmological interdependencies between “all that exists.” The thesis of law as language seems to reinforce a much-contested rift between mind and body, culture and nature, among other boundary-making notions at the root of modern thought and practice. In what sense, then, could conjuring other-than-human beings as agents of legal meaning, rather than mere recipients of state-sanctioned rights, transform what we mean by law and RON in Latin America?","container-title":"From Environmental to Ecological Law","event-place":"Abingdon, Oxon","ISBN":"978-1-00-300125-6","note":"number-of-pages: 16","page":"119-134","publisher":"Routledge","publisher-place":"Abingdon, Oxon","title":"Conjuring Sentient Beings and Relations in the Law: Rights of Nature and a Comparative Praxis of Legal Cosmologies in Latin America","title-short":"Conjuring sentient beings and relations in the law","author":[{"family":"Vargas Roncancio","given":"Iván Darío"}],"editor":[{"family":"Anker","given":"Kirsten"},{"family":"Burdon","given":"Peter D."},{"family":"Garver","given":"Geoffrey"},{"family":"Maloney","given":"Michelle"},{"family":"Sbert","given":"Carla"}],"issued":{"date-parts":[["2020"]]}},"locator":"130","label":"page"}],"schema":"https://github.com/citation-style-language/schema/raw/master/csl-citation.json"} </w:instrText>
      </w:r>
      <w:r>
        <w:fldChar w:fldCharType="separate"/>
      </w:r>
      <w:r>
        <w:rPr>
          <w:noProof/>
        </w:rPr>
        <w:t>ibid 130.</w:t>
      </w:r>
      <w:r>
        <w:fldChar w:fldCharType="end"/>
      </w:r>
    </w:p>
  </w:footnote>
  <w:footnote w:id="79">
    <w:p w14:paraId="7012690B" w14:textId="05B9BFC5" w:rsidR="00BC5E11" w:rsidRDefault="00BC5E11">
      <w:pPr>
        <w:pStyle w:val="FootnoteText"/>
      </w:pPr>
      <w:r>
        <w:rPr>
          <w:rStyle w:val="FootnoteReference"/>
        </w:rPr>
        <w:footnoteRef/>
      </w:r>
      <w:r>
        <w:t xml:space="preserve"> </w:t>
      </w:r>
      <w:r>
        <w:fldChar w:fldCharType="begin"/>
      </w:r>
      <w:r w:rsidR="003360F1">
        <w:instrText xml:space="preserve"> ADDIN ZOTERO_ITEM CSL_CITATION {"citationID":"85w7b161","properties":{"formattedCitation":"Carvalho and Riquito (n 68).","plainCitation":"Carvalho and Riquito (n 68).","noteIndex":79},"citationItems":[{"id":1844,"uris":["http://zotero.org/users/1464657/items/GP27YB5R"],"itemData":{"id":1844,"type":"article-journal","container-title":"Nordia Geographical Publications","DOI":"10.30671/nordia.107404","issue":"2","page":"37-56","title":"Listening-with the Subaltern: Anthropocene, Pluriverse and More-than-human Agency","volume":"51","author":[{"family":"Carvalho","given":"António"},{"family":"Riquito","given":"Mariana"}],"issued":{"date-parts":[["2022"]]}}}],"schema":"https://github.com/citation-style-language/schema/raw/master/csl-citation.json"} </w:instrText>
      </w:r>
      <w:r>
        <w:fldChar w:fldCharType="separate"/>
      </w:r>
      <w:r w:rsidR="003360F1">
        <w:rPr>
          <w:noProof/>
        </w:rPr>
        <w:t>Carvalho and Riquito (n 68).</w:t>
      </w:r>
      <w:r>
        <w:fldChar w:fldCharType="end"/>
      </w:r>
    </w:p>
  </w:footnote>
  <w:footnote w:id="80">
    <w:p w14:paraId="2A6F976E" w14:textId="6AA6723F" w:rsidR="00BC5E11" w:rsidRDefault="00BC5E11">
      <w:pPr>
        <w:pStyle w:val="FootnoteText"/>
      </w:pPr>
      <w:r>
        <w:rPr>
          <w:rStyle w:val="FootnoteReference"/>
        </w:rPr>
        <w:footnoteRef/>
      </w:r>
      <w:r>
        <w:t xml:space="preserve"> </w:t>
      </w:r>
      <w:r>
        <w:fldChar w:fldCharType="begin"/>
      </w:r>
      <w:r w:rsidR="00ED4200">
        <w:instrText xml:space="preserve"> ADDIN ZOTERO_ITEM CSL_CITATION {"citationID":"5Ogswhij","properties":{"formattedCitation":"Kenneth Kraft, \\uc0\\u8216{}Does a Dewdrop Teach Dharma? Zen Perspectives on the Teachings of the Insentient\\uc0\\u8217{} (2018) 45 {\\i{}Dharma World} 6.","plainCitation":"Kenneth Kraft, ‘Does a Dewdrop Teach Dharma? Zen Perspectives on the Teachings of the Insentient’ (2018) 45 Dharma World 6.","noteIndex":79},"citationItems":[{"id":1805,"uris":["http://zotero.org/users/1464657/items/YMVFUYV6"],"itemData":{"id":1805,"type":"article-magazine","container-title":"Dharma World","page":"6-9","title":"Does a Dewdrop Teach Dharma? Zen Perspectives on the Teachings of the Insentient","volume":"45","author":[{"family":"Kraft","given":"Kenneth"}],"issued":{"date-parts":[["2018"]]}}}],"schema":"https://github.com/citation-style-language/schema/raw/master/csl-citation.json"} </w:instrText>
      </w:r>
      <w:r>
        <w:fldChar w:fldCharType="separate"/>
      </w:r>
      <w:r w:rsidRPr="00BC5E11">
        <w:rPr>
          <w:kern w:val="0"/>
        </w:rPr>
        <w:t xml:space="preserve">Kenneth Kraft, ‘Does a Dewdrop Teach Dharma? Zen Perspectives on the Teachings of the Insentient’ (2018) 45 </w:t>
      </w:r>
      <w:r w:rsidRPr="00BC5E11">
        <w:rPr>
          <w:i/>
          <w:iCs/>
          <w:kern w:val="0"/>
        </w:rPr>
        <w:t>Dharma World</w:t>
      </w:r>
      <w:r w:rsidRPr="00BC5E11">
        <w:rPr>
          <w:kern w:val="0"/>
        </w:rPr>
        <w:t xml:space="preserve"> 6.</w:t>
      </w:r>
      <w:r>
        <w:fldChar w:fldCharType="end"/>
      </w:r>
    </w:p>
  </w:footnote>
  <w:footnote w:id="81">
    <w:p w14:paraId="6E28DC51" w14:textId="37A4260D" w:rsidR="00B66CAA" w:rsidRDefault="00B66CAA">
      <w:pPr>
        <w:pStyle w:val="FootnoteText"/>
      </w:pPr>
      <w:r>
        <w:rPr>
          <w:rStyle w:val="FootnoteReference"/>
        </w:rPr>
        <w:footnoteRef/>
      </w:r>
      <w:r>
        <w:t xml:space="preserve"> </w:t>
      </w:r>
      <w:r>
        <w:fldChar w:fldCharType="begin"/>
      </w:r>
      <w:r w:rsidR="00ED4200">
        <w:instrText xml:space="preserve"> ADDIN ZOTERO_ITEM CSL_CITATION {"citationID":"r3L1SqWh","properties":{"formattedCitation":"Klaus Bosselmann, \\uc0\\u8216{}In Search of Global Law: The Significance of the Earth Charter\\uc0\\u8217{} (2004) 8 Worldviews 62; Grear (n 34); Martin Crook, Damien Short and Nigel South, \\uc0\\u8216{}Ecocide, Genocide, Capitalism and Colonialism: Consequences for Indigenous Peoples and Glocal Ecosystems Environments\\uc0\\u8217{} (2018) 22 Theoretical Criminology 298.","plainCitation":"Klaus Bosselmann, ‘In Search of Global Law: The Significance of the Earth Charter’ (2004) 8 Worldviews 62; Grear (n 34); Martin Crook, Damien Short and Nigel South, ‘Ecocide, Genocide, Capitalism and Colonialism: Consequences for Indigenous Peoples and Glocal Ecosystems Environments’ (2018) 22 Theoretical Criminology 298.","noteIndex":80},"citationItems":[{"id":1804,"uris":["http://zotero.org/users/1464657/items/XYQRRUJM"],"itemData":{"id":1804,"type":"article-journal","abstract":"Western legal traditions are anthropocentric in character and largely hostile to ecological principles. However, domestic and international environmental law show signs of an ecocentric orientation. In the search for a legal framework for ecologically sustainable development the Earth Charter marks an important step forward. Among its ground-breaking principles are ecologically defined concepts of sustainability, justice and rights.","container-title":"Worldviews","DOI":"10.1163/1568535041337766","ISSN":"1363-5247","issue":"1","note":"publisher: Brill","page":"62-75","source":"JSTOR","title":"In Search of Global Law: The Significance of the Earth Charter","title-short":"In Search of Global Law","volume":"8","author":[{"family":"Bosselmann","given":"Klaus"}],"issued":{"date-parts":[["2004"]]}}},{"id":1841,"uris":["http://zotero.org/users/1464657/items/LIQY6NTQ"],"itemData":{"id":1841,"type":"article-journal","abstract":"The present reflection draws upon a tradition of energetic, world-facing critical legal scholarship to interrogate the anthropos assumed by the terminology of ‘anthropocentrism’ and of the ‘Anthropocene’. The article concludes that any ethically responsible future engagement with ‘anthropocentrism’ and/or with the ‘Anthropocene’ must explicitly engage with the oppressive hierarchical structure of the anthropos itself—and should directly address its apotheosis in the corporate juridical subject that dominates the entire globalised order of the Anthropocene age.","container-title":"Law and Critique","DOI":"10.1007/s10978-015-9161-0","issue":"3","page":"225-249","title":"Deconstructing Anthropos: A Critical Legal Reflection on ‘Anthropocentric’ Law and Anthropocene ‘Humanity’","volume":"26","author":[{"family":"Grear","given":"Anna"}],"issued":{"date-parts":[["2015"]]}}},{"id":1803,"uris":["http://zotero.org/users/1464657/items/2LYTTK7Q"],"itemData":{"id":1803,"type":"article-journal","abstract":"Continuing injustices and denial of rights of indigenous peoples are part of the long legacy of colonialism. Parallel processes of exploitation and injustice can be identified in relation to non-human species and/or aspects of the natural environment. International law can address some extreme examples of the crimes and harms of colonialism through the idea and legal definition of genocide, but the intimately related notion of ecocide that applies to nature and the environment is not yet formally accepted within the body of international law. In the context of this special issue reflecting on the development of green criminology, the article argues that the concept of ecocide provides a powerful tool. To illustrate this, the article explores connections between ecocide, genocide, capitalism and colonialism and discusses impacts on indigenous peoples and on local and global (glocal) ecosystems.","container-title":"Theoretical Criminology","DOI":"10.1177/1362480618787176","ISSN":"1362-4806","issue":"3","language":"en","note":"publisher: SAGE Publications Ltd","page":"298-317","source":"SAGE Journals","title":"Ecocide, Genocide, Capitalism and Colonialism: Consequences for Indigenous Peoples and Glocal Ecosystems Environments","title-short":"Ecocide, genocide, capitalism and colonialism","volume":"22","author":[{"family":"Crook","given":"Martin"},{"family":"Short","given":"Damien"},{"family":"South","given":"Nigel"}],"issued":{"date-parts":[["2018"]]}}}],"schema":"https://github.com/citation-style-language/schema/raw/master/csl-citation.json"} </w:instrText>
      </w:r>
      <w:r>
        <w:fldChar w:fldCharType="separate"/>
      </w:r>
      <w:r w:rsidR="00ED4200" w:rsidRPr="00ED4200">
        <w:rPr>
          <w:kern w:val="0"/>
        </w:rPr>
        <w:t>Klaus Bosselmann, ‘In Search of Global Law: The Significance of the Earth Charter’ (2004) 8 Worldviews 62; Grear (n 34); Martin Crook, Damien Short and Nigel South, ‘Ecocide, Genocide, Capitalism and Colonialism: Consequences for Indigenous Peoples and Glocal Ecosystems Environments’ (2018) 22 Theoretical Criminology 298.</w:t>
      </w:r>
      <w:r>
        <w:fldChar w:fldCharType="end"/>
      </w:r>
    </w:p>
  </w:footnote>
  <w:footnote w:id="82">
    <w:p w14:paraId="3E85D036" w14:textId="2581A806" w:rsidR="006207B2" w:rsidRDefault="006207B2">
      <w:pPr>
        <w:pStyle w:val="FootnoteText"/>
      </w:pPr>
      <w:r>
        <w:rPr>
          <w:rStyle w:val="FootnoteReference"/>
        </w:rPr>
        <w:footnoteRef/>
      </w:r>
      <w:r>
        <w:t xml:space="preserve"> [1978] </w:t>
      </w:r>
      <w:r w:rsidRPr="00815EB8">
        <w:t>437 U.S. 153</w:t>
      </w:r>
      <w:r>
        <w:t>.</w:t>
      </w:r>
    </w:p>
  </w:footnote>
  <w:footnote w:id="83">
    <w:p w14:paraId="78D50DDD" w14:textId="1B6DDE80" w:rsidR="006207B2" w:rsidRDefault="006207B2">
      <w:pPr>
        <w:pStyle w:val="FootnoteText"/>
      </w:pPr>
      <w:r>
        <w:rPr>
          <w:rStyle w:val="FootnoteReference"/>
        </w:rPr>
        <w:footnoteRef/>
      </w:r>
      <w:r>
        <w:t xml:space="preserve"> </w:t>
      </w:r>
      <w:r>
        <w:fldChar w:fldCharType="begin"/>
      </w:r>
      <w:r w:rsidR="00ED4200">
        <w:instrText xml:space="preserve"> ADDIN ZOTERO_ITEM CSL_CITATION {"citationID":"viWxdNTx","properties":{"formattedCitation":"Mario Blaser, \\uc0\\u8216{}Ontology and Indigeneity: On the Political Ontology of Heterogeneous Assemblages\\uc0\\u8217{} (2014) 21 Cultural Geographies 49, 54.","plainCitation":"Mario Blaser, ‘Ontology and Indigeneity: On the Political Ontology of Heterogeneous Assemblages’ (2014) 21 Cultural Geographies 49, 54.","noteIndex":82},"citationItems":[{"id":1802,"uris":["http://zotero.org/users/1464657/items/SLQFYNRE"],"itemData":{"id":1802,"type":"article-journal","container-title":"Cultural Geographies","DOI":"10.1177/1474474012462534","issue":"1","page":"49-58","title":"Ontology and Indigeneity: On the Political Ontology of Heterogeneous Assemblages","volume":"21","author":[{"family":"Blaser","given":"Mario"}],"issued":{"date-parts":[["2014"]]}},"locator":"54","label":"page"}],"schema":"https://github.com/citation-style-language/schema/raw/master/csl-citation.json"} </w:instrText>
      </w:r>
      <w:r>
        <w:fldChar w:fldCharType="separate"/>
      </w:r>
      <w:r w:rsidRPr="006207B2">
        <w:rPr>
          <w:kern w:val="0"/>
        </w:rPr>
        <w:t>Mario Blaser, ‘Ontology and Indigeneity: On the Political Ontology of Heterogeneous Assemblages’ (2014) 21 Cultural Geographies 49, 54.</w:t>
      </w:r>
      <w:r>
        <w:fldChar w:fldCharType="end"/>
      </w:r>
    </w:p>
  </w:footnote>
  <w:footnote w:id="84">
    <w:p w14:paraId="1A0C1E7A" w14:textId="794C9F76" w:rsidR="006207B2" w:rsidRDefault="006207B2">
      <w:pPr>
        <w:pStyle w:val="FootnoteText"/>
      </w:pPr>
      <w:r>
        <w:rPr>
          <w:rStyle w:val="FootnoteReference"/>
        </w:rPr>
        <w:footnoteRef/>
      </w:r>
      <w:r>
        <w:t xml:space="preserve"> </w:t>
      </w:r>
      <w:r>
        <w:fldChar w:fldCharType="begin"/>
      </w:r>
      <w:r w:rsidR="00ED4200">
        <w:instrText xml:space="preserve"> ADDIN ZOTERO_ITEM CSL_CITATION {"citationID":"Nwk1MF21","properties":{"formattedCitation":"Marc Steen, \\uc0\\u8216{}Learning from Indigenous Cultures\\uc0\\u8217{} [2022] IEEE Technology and Society Magazine 39, 42.","plainCitation":"Marc Steen, ‘Learning from Indigenous Cultures’ [2022] IEEE Technology and Society Magazine 39, 42.","noteIndex":83},"citationItems":[{"id":1840,"uris":["http://zotero.org/users/1464657/items/IPUVPLYX"],"itemData":{"id":1840,"type":"article-journal","container-title":"IEEE Technology and Society Magazine","DOI":"10.1109/MTS.2022.3215875","page":"39-43","title":"Learning from Indigenous Cultures","author":[{"family":"Steen","given":"Marc"}],"issued":{"date-parts":[["2022"]]}},"locator":"42","label":"page"}],"schema":"https://github.com/citation-style-language/schema/raw/master/csl-citation.json"} </w:instrText>
      </w:r>
      <w:r>
        <w:fldChar w:fldCharType="separate"/>
      </w:r>
      <w:r w:rsidRPr="006207B2">
        <w:rPr>
          <w:kern w:val="0"/>
        </w:rPr>
        <w:t>Marc Steen, ‘Learning from Indigenous Cultures’ [2022] IEEE Technology and Society Magazine 39, 42.</w:t>
      </w:r>
      <w:r>
        <w:fldChar w:fldCharType="end"/>
      </w:r>
    </w:p>
  </w:footnote>
  <w:footnote w:id="85">
    <w:p w14:paraId="00C484DF" w14:textId="23AF520B" w:rsidR="00512B8F" w:rsidRDefault="00512B8F">
      <w:pPr>
        <w:pStyle w:val="FootnoteText"/>
      </w:pPr>
      <w:r>
        <w:rPr>
          <w:rStyle w:val="FootnoteReference"/>
        </w:rPr>
        <w:footnoteRef/>
      </w:r>
      <w:r>
        <w:t xml:space="preserve"> </w:t>
      </w:r>
      <w:r>
        <w:fldChar w:fldCharType="begin"/>
      </w:r>
      <w:r w:rsidR="00ED4200">
        <w:instrText xml:space="preserve"> ADDIN ZOTERO_ITEM CSL_CITATION {"citationID":"x4gUdha1","properties":{"formattedCitation":"Louis J Kotz\\uc0\\u233{}, \\uc0\\u8216{}The Anthropocene, Earth System Vulnerability and Socio-Ecological Injustice in an Age of Human Rights\\uc0\\u8217{} (2019) 10 Journal of Human Rights and the Environment 62.","plainCitation":"Louis J Kotzé, ‘The Anthropocene, Earth System Vulnerability and Socio-Ecological Injustice in an Age of Human Rights’ (2019) 10 Journal of Human Rights and the Environment 62.","noteIndex":84},"citationItems":[{"id":1839,"uris":["http://zotero.org/users/1464657/items/8AF865BW"],"itemData":{"id":1839,"type":"article-journal","container-title":"Journal of Human Rights and the Environment","DOI":"10.4337/jhre.2019.01.04","issue":"1","page":"62-85","title":"The Anthropocene, Earth System Vulnerability and Socio-ecological Injustice in an Age of Human Rights","volume":"10","author":[{"family":"Kotzé","given":"Louis J."}],"issued":{"date-parts":[["2019"]]}}}],"schema":"https://github.com/citation-style-language/schema/raw/master/csl-citation.json"} </w:instrText>
      </w:r>
      <w:r>
        <w:fldChar w:fldCharType="separate"/>
      </w:r>
      <w:r w:rsidRPr="00512B8F">
        <w:rPr>
          <w:kern w:val="0"/>
        </w:rPr>
        <w:t>Louis J Kotzé, ‘The Anthropocene, Earth System Vulnerability and Socio-Ecological Injustice in an Age of Human Rights’ (2019) 10 Journal of Human Rights and the Environment 62.</w:t>
      </w:r>
      <w:r>
        <w:fldChar w:fldCharType="end"/>
      </w:r>
    </w:p>
  </w:footnote>
  <w:footnote w:id="86">
    <w:p w14:paraId="33E52B21" w14:textId="1732EDC6" w:rsidR="00512B8F" w:rsidRDefault="00512B8F">
      <w:pPr>
        <w:pStyle w:val="FootnoteText"/>
      </w:pPr>
      <w:r>
        <w:rPr>
          <w:rStyle w:val="FootnoteReference"/>
        </w:rPr>
        <w:footnoteRef/>
      </w:r>
      <w:r>
        <w:t xml:space="preserve"> </w:t>
      </w:r>
      <w:r>
        <w:fldChar w:fldCharType="begin"/>
      </w:r>
      <w:r w:rsidR="00ED4200">
        <w:instrText xml:space="preserve"> ADDIN ZOTERO_ITEM CSL_CITATION {"citationID":"RXVBobWs","properties":{"formattedCitation":"Jason Edward Lewis and others, \\uc0\\u8216{}Making Kin with the Machines\\uc0\\u8217{} (2018) 3.5 Journal of Design and Science 1, 14.","plainCitation":"Jason Edward Lewis and others, ‘Making Kin with the Machines’ (2018) 3.5 Journal of Design and Science 1, 14.","noteIndex":85},"citationItems":[{"id":1801,"uris":["http://zotero.org/users/1464657/items/JE3JTAVJ"],"itemData":{"id":1801,"type":"article-journal","container-title":"Journal of Design and Science","DOI":"10.21428/bfafd97b","page":"1-15","title":"Making Kin with the Machines","volume":"3.5","author":[{"family":"Lewis","given":"Jason Edward"},{"family":"Arista","given":"Noelani"},{"family":"Pechawis","given":"Archer"},{"family":"Kite","given":"Suzanne"}],"issued":{"date-parts":[["2018"]]}},"locator":"14","label":"page"}],"schema":"https://github.com/citation-style-language/schema/raw/master/csl-citation.json"} </w:instrText>
      </w:r>
      <w:r>
        <w:fldChar w:fldCharType="separate"/>
      </w:r>
      <w:r w:rsidRPr="00512B8F">
        <w:rPr>
          <w:kern w:val="0"/>
        </w:rPr>
        <w:t>Jason Edward Lewis and others, ‘Making Kin with the Machines’ (2018) 3.5 Journal of Design and Science 1, 14.</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1AFF" w14:textId="7784088F" w:rsidR="00C84880" w:rsidRDefault="00CC6372">
    <w:pPr>
      <w:pStyle w:val="Header"/>
    </w:pPr>
    <w:r>
      <w:rPr>
        <w:noProof/>
      </w:rPr>
      <w:pict w14:anchorId="1F494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52217" o:spid="_x0000_s1027" type="#_x0000_t136" alt="" style="position:absolute;margin-left:0;margin-top:0;width:592.7pt;height:66.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DO NOT CI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9854" w14:textId="241BC112" w:rsidR="00C84880" w:rsidRDefault="00CC6372">
    <w:pPr>
      <w:pStyle w:val="Header"/>
    </w:pPr>
    <w:r>
      <w:rPr>
        <w:noProof/>
      </w:rPr>
      <w:pict w14:anchorId="57CA9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52218" o:spid="_x0000_s1026" type="#_x0000_t136" alt="" style="position:absolute;margin-left:0;margin-top:0;width:592.7pt;height:66.9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DO NOT CI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EEF5" w14:textId="7D0D055D" w:rsidR="00C84880" w:rsidRDefault="00CC6372">
    <w:pPr>
      <w:pStyle w:val="Header"/>
    </w:pPr>
    <w:r>
      <w:rPr>
        <w:noProof/>
      </w:rPr>
      <w:pict w14:anchorId="7793A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52216" o:spid="_x0000_s1025" type="#_x0000_t136" alt="" style="position:absolute;margin-left:0;margin-top:0;width:592.7pt;height:66.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DO NOT CI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330"/>
    <w:multiLevelType w:val="multilevel"/>
    <w:tmpl w:val="97E6C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D5669"/>
    <w:multiLevelType w:val="multilevel"/>
    <w:tmpl w:val="7E6A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8580945">
    <w:abstractNumId w:val="1"/>
  </w:num>
  <w:num w:numId="2" w16cid:durableId="81533359">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60"/>
    <w:rsid w:val="00000535"/>
    <w:rsid w:val="000005F5"/>
    <w:rsid w:val="00003A12"/>
    <w:rsid w:val="00004077"/>
    <w:rsid w:val="000047E9"/>
    <w:rsid w:val="0000559D"/>
    <w:rsid w:val="000071EB"/>
    <w:rsid w:val="000125E6"/>
    <w:rsid w:val="00012F58"/>
    <w:rsid w:val="00020ED8"/>
    <w:rsid w:val="00022570"/>
    <w:rsid w:val="00037B9A"/>
    <w:rsid w:val="00042F10"/>
    <w:rsid w:val="00050746"/>
    <w:rsid w:val="0005751E"/>
    <w:rsid w:val="0008159A"/>
    <w:rsid w:val="000A14C9"/>
    <w:rsid w:val="000A5442"/>
    <w:rsid w:val="000A7BD9"/>
    <w:rsid w:val="000B7D23"/>
    <w:rsid w:val="000C27C1"/>
    <w:rsid w:val="000C65EC"/>
    <w:rsid w:val="000D2EB4"/>
    <w:rsid w:val="000D4EE4"/>
    <w:rsid w:val="000E67A2"/>
    <w:rsid w:val="000E7A17"/>
    <w:rsid w:val="000F3E11"/>
    <w:rsid w:val="000F45AA"/>
    <w:rsid w:val="000F4BF0"/>
    <w:rsid w:val="001064DB"/>
    <w:rsid w:val="00106CE6"/>
    <w:rsid w:val="001200F5"/>
    <w:rsid w:val="001238A7"/>
    <w:rsid w:val="001239C2"/>
    <w:rsid w:val="00125DAF"/>
    <w:rsid w:val="001339E5"/>
    <w:rsid w:val="001442F4"/>
    <w:rsid w:val="00144D34"/>
    <w:rsid w:val="00146C98"/>
    <w:rsid w:val="001524BE"/>
    <w:rsid w:val="00154549"/>
    <w:rsid w:val="00172768"/>
    <w:rsid w:val="0017758F"/>
    <w:rsid w:val="0018175E"/>
    <w:rsid w:val="001837A5"/>
    <w:rsid w:val="001906C6"/>
    <w:rsid w:val="00191282"/>
    <w:rsid w:val="001B6CD9"/>
    <w:rsid w:val="001C4962"/>
    <w:rsid w:val="001C5831"/>
    <w:rsid w:val="001E101F"/>
    <w:rsid w:val="001E5BE0"/>
    <w:rsid w:val="001E72A0"/>
    <w:rsid w:val="001F47B6"/>
    <w:rsid w:val="00200AA4"/>
    <w:rsid w:val="0020464A"/>
    <w:rsid w:val="00206BCF"/>
    <w:rsid w:val="00206FC5"/>
    <w:rsid w:val="00214758"/>
    <w:rsid w:val="00214D51"/>
    <w:rsid w:val="00217940"/>
    <w:rsid w:val="00220864"/>
    <w:rsid w:val="00230DE5"/>
    <w:rsid w:val="00233E75"/>
    <w:rsid w:val="002404A9"/>
    <w:rsid w:val="002424C6"/>
    <w:rsid w:val="00245978"/>
    <w:rsid w:val="00245C50"/>
    <w:rsid w:val="00250710"/>
    <w:rsid w:val="00251628"/>
    <w:rsid w:val="0025500D"/>
    <w:rsid w:val="002634B6"/>
    <w:rsid w:val="00264B98"/>
    <w:rsid w:val="0027260D"/>
    <w:rsid w:val="00272B06"/>
    <w:rsid w:val="00275BB2"/>
    <w:rsid w:val="002A1158"/>
    <w:rsid w:val="002A51DE"/>
    <w:rsid w:val="002B4AE0"/>
    <w:rsid w:val="002B591C"/>
    <w:rsid w:val="002C21DD"/>
    <w:rsid w:val="002C36DB"/>
    <w:rsid w:val="002D0C8A"/>
    <w:rsid w:val="002D351B"/>
    <w:rsid w:val="002D7AB7"/>
    <w:rsid w:val="002E03A1"/>
    <w:rsid w:val="002E648F"/>
    <w:rsid w:val="002F2A29"/>
    <w:rsid w:val="002F5052"/>
    <w:rsid w:val="002F60C0"/>
    <w:rsid w:val="003045A5"/>
    <w:rsid w:val="00306DC4"/>
    <w:rsid w:val="00307455"/>
    <w:rsid w:val="003129D8"/>
    <w:rsid w:val="0032390F"/>
    <w:rsid w:val="00327147"/>
    <w:rsid w:val="003304DA"/>
    <w:rsid w:val="0033301B"/>
    <w:rsid w:val="003360F1"/>
    <w:rsid w:val="0034026C"/>
    <w:rsid w:val="00341517"/>
    <w:rsid w:val="00341FA5"/>
    <w:rsid w:val="00344DDC"/>
    <w:rsid w:val="00357E41"/>
    <w:rsid w:val="003608A1"/>
    <w:rsid w:val="003618BE"/>
    <w:rsid w:val="00373F41"/>
    <w:rsid w:val="0037685E"/>
    <w:rsid w:val="00391A19"/>
    <w:rsid w:val="0039324D"/>
    <w:rsid w:val="003A1C0D"/>
    <w:rsid w:val="003B1238"/>
    <w:rsid w:val="003B3E57"/>
    <w:rsid w:val="003B42C8"/>
    <w:rsid w:val="003C0DFA"/>
    <w:rsid w:val="003C1A5B"/>
    <w:rsid w:val="003C35F6"/>
    <w:rsid w:val="003D4F74"/>
    <w:rsid w:val="003E0A65"/>
    <w:rsid w:val="003E1E67"/>
    <w:rsid w:val="003E3332"/>
    <w:rsid w:val="003E5A38"/>
    <w:rsid w:val="003F043B"/>
    <w:rsid w:val="00402C36"/>
    <w:rsid w:val="0040368F"/>
    <w:rsid w:val="00404549"/>
    <w:rsid w:val="0041054C"/>
    <w:rsid w:val="0041567B"/>
    <w:rsid w:val="00416BB2"/>
    <w:rsid w:val="004203EB"/>
    <w:rsid w:val="004246BC"/>
    <w:rsid w:val="00426ED7"/>
    <w:rsid w:val="00430979"/>
    <w:rsid w:val="00431B15"/>
    <w:rsid w:val="004327A4"/>
    <w:rsid w:val="00436232"/>
    <w:rsid w:val="00450D87"/>
    <w:rsid w:val="0045461E"/>
    <w:rsid w:val="00455AFF"/>
    <w:rsid w:val="00457201"/>
    <w:rsid w:val="00462801"/>
    <w:rsid w:val="00462859"/>
    <w:rsid w:val="00475492"/>
    <w:rsid w:val="0047674D"/>
    <w:rsid w:val="00492F82"/>
    <w:rsid w:val="004B2799"/>
    <w:rsid w:val="004B4765"/>
    <w:rsid w:val="004B61B2"/>
    <w:rsid w:val="004B6B4F"/>
    <w:rsid w:val="004C7318"/>
    <w:rsid w:val="004D3286"/>
    <w:rsid w:val="004D68B4"/>
    <w:rsid w:val="004D6C38"/>
    <w:rsid w:val="004E6321"/>
    <w:rsid w:val="004E663A"/>
    <w:rsid w:val="004F0C2C"/>
    <w:rsid w:val="004F786A"/>
    <w:rsid w:val="00512B8F"/>
    <w:rsid w:val="00527C51"/>
    <w:rsid w:val="00527E66"/>
    <w:rsid w:val="005307BD"/>
    <w:rsid w:val="00542958"/>
    <w:rsid w:val="005466FE"/>
    <w:rsid w:val="00550F7A"/>
    <w:rsid w:val="0055473D"/>
    <w:rsid w:val="00565E3C"/>
    <w:rsid w:val="00571594"/>
    <w:rsid w:val="00582B7B"/>
    <w:rsid w:val="005854CF"/>
    <w:rsid w:val="00585FD4"/>
    <w:rsid w:val="005868AC"/>
    <w:rsid w:val="00590D53"/>
    <w:rsid w:val="005963B5"/>
    <w:rsid w:val="005A3B3C"/>
    <w:rsid w:val="005B1918"/>
    <w:rsid w:val="005B4AD8"/>
    <w:rsid w:val="005B7B01"/>
    <w:rsid w:val="005C2ED3"/>
    <w:rsid w:val="005F3626"/>
    <w:rsid w:val="0060028D"/>
    <w:rsid w:val="00601F79"/>
    <w:rsid w:val="00602DD5"/>
    <w:rsid w:val="0060521C"/>
    <w:rsid w:val="00605757"/>
    <w:rsid w:val="00612B94"/>
    <w:rsid w:val="00617FE1"/>
    <w:rsid w:val="006207B2"/>
    <w:rsid w:val="00620D25"/>
    <w:rsid w:val="0062432C"/>
    <w:rsid w:val="006266FF"/>
    <w:rsid w:val="0063153F"/>
    <w:rsid w:val="006428FF"/>
    <w:rsid w:val="006532A3"/>
    <w:rsid w:val="0066128F"/>
    <w:rsid w:val="0066239C"/>
    <w:rsid w:val="006670A9"/>
    <w:rsid w:val="00672271"/>
    <w:rsid w:val="006811E2"/>
    <w:rsid w:val="006852EC"/>
    <w:rsid w:val="0068596A"/>
    <w:rsid w:val="00691F4F"/>
    <w:rsid w:val="00695535"/>
    <w:rsid w:val="006A0906"/>
    <w:rsid w:val="006B3E76"/>
    <w:rsid w:val="006C0883"/>
    <w:rsid w:val="006C39FC"/>
    <w:rsid w:val="006E05A9"/>
    <w:rsid w:val="006E0E5A"/>
    <w:rsid w:val="006E2076"/>
    <w:rsid w:val="006E4D9C"/>
    <w:rsid w:val="006F0879"/>
    <w:rsid w:val="006F1E91"/>
    <w:rsid w:val="006F58D4"/>
    <w:rsid w:val="00705899"/>
    <w:rsid w:val="00705B58"/>
    <w:rsid w:val="00705CCB"/>
    <w:rsid w:val="007117E6"/>
    <w:rsid w:val="00714C31"/>
    <w:rsid w:val="0072090E"/>
    <w:rsid w:val="007323F3"/>
    <w:rsid w:val="007372F7"/>
    <w:rsid w:val="00740245"/>
    <w:rsid w:val="00742AD6"/>
    <w:rsid w:val="00745ED6"/>
    <w:rsid w:val="0074743F"/>
    <w:rsid w:val="00750FA9"/>
    <w:rsid w:val="0075451B"/>
    <w:rsid w:val="00760AC8"/>
    <w:rsid w:val="00771ACE"/>
    <w:rsid w:val="007722A6"/>
    <w:rsid w:val="007742A3"/>
    <w:rsid w:val="00777F02"/>
    <w:rsid w:val="00786960"/>
    <w:rsid w:val="00786B26"/>
    <w:rsid w:val="00791F38"/>
    <w:rsid w:val="00794860"/>
    <w:rsid w:val="0079492E"/>
    <w:rsid w:val="007A043E"/>
    <w:rsid w:val="007A3F06"/>
    <w:rsid w:val="007A6135"/>
    <w:rsid w:val="007A7917"/>
    <w:rsid w:val="007B2DDB"/>
    <w:rsid w:val="007C7A45"/>
    <w:rsid w:val="007E68DC"/>
    <w:rsid w:val="007F0A8C"/>
    <w:rsid w:val="007F2CD2"/>
    <w:rsid w:val="007F7538"/>
    <w:rsid w:val="008045F8"/>
    <w:rsid w:val="0081304E"/>
    <w:rsid w:val="00815EB8"/>
    <w:rsid w:val="00822DA3"/>
    <w:rsid w:val="00824054"/>
    <w:rsid w:val="008330EB"/>
    <w:rsid w:val="008352A5"/>
    <w:rsid w:val="0083560A"/>
    <w:rsid w:val="0083594A"/>
    <w:rsid w:val="008446A4"/>
    <w:rsid w:val="008456B1"/>
    <w:rsid w:val="00850E10"/>
    <w:rsid w:val="00851399"/>
    <w:rsid w:val="008539E4"/>
    <w:rsid w:val="008555D1"/>
    <w:rsid w:val="008577FF"/>
    <w:rsid w:val="00863578"/>
    <w:rsid w:val="00866876"/>
    <w:rsid w:val="0087007C"/>
    <w:rsid w:val="00871929"/>
    <w:rsid w:val="00881B73"/>
    <w:rsid w:val="008849CE"/>
    <w:rsid w:val="0088586E"/>
    <w:rsid w:val="008944A5"/>
    <w:rsid w:val="008A3167"/>
    <w:rsid w:val="008A7492"/>
    <w:rsid w:val="008B1AA0"/>
    <w:rsid w:val="008B6553"/>
    <w:rsid w:val="008B6B2F"/>
    <w:rsid w:val="008C0E69"/>
    <w:rsid w:val="008C3C31"/>
    <w:rsid w:val="008D0DC3"/>
    <w:rsid w:val="008D3460"/>
    <w:rsid w:val="008E021C"/>
    <w:rsid w:val="008F526D"/>
    <w:rsid w:val="008F79B0"/>
    <w:rsid w:val="008F7B73"/>
    <w:rsid w:val="009040BB"/>
    <w:rsid w:val="00914025"/>
    <w:rsid w:val="00914761"/>
    <w:rsid w:val="00916CFC"/>
    <w:rsid w:val="00917A39"/>
    <w:rsid w:val="009210FC"/>
    <w:rsid w:val="00931294"/>
    <w:rsid w:val="009314C8"/>
    <w:rsid w:val="0093524D"/>
    <w:rsid w:val="009353E9"/>
    <w:rsid w:val="00940A18"/>
    <w:rsid w:val="0095253E"/>
    <w:rsid w:val="00962B67"/>
    <w:rsid w:val="0097015A"/>
    <w:rsid w:val="009728E6"/>
    <w:rsid w:val="00975736"/>
    <w:rsid w:val="00987429"/>
    <w:rsid w:val="009967AC"/>
    <w:rsid w:val="009A3800"/>
    <w:rsid w:val="009A7A88"/>
    <w:rsid w:val="009C070D"/>
    <w:rsid w:val="009C196F"/>
    <w:rsid w:val="009C35D8"/>
    <w:rsid w:val="009D144A"/>
    <w:rsid w:val="009D1FE2"/>
    <w:rsid w:val="009D57CE"/>
    <w:rsid w:val="009D702B"/>
    <w:rsid w:val="009D75F8"/>
    <w:rsid w:val="009E6B8B"/>
    <w:rsid w:val="009E73EE"/>
    <w:rsid w:val="009F28C6"/>
    <w:rsid w:val="009F3EC4"/>
    <w:rsid w:val="009F7B1C"/>
    <w:rsid w:val="00A159A0"/>
    <w:rsid w:val="00A201AA"/>
    <w:rsid w:val="00A20323"/>
    <w:rsid w:val="00A2302A"/>
    <w:rsid w:val="00A32536"/>
    <w:rsid w:val="00A3496B"/>
    <w:rsid w:val="00A41098"/>
    <w:rsid w:val="00A66517"/>
    <w:rsid w:val="00A73510"/>
    <w:rsid w:val="00A92F62"/>
    <w:rsid w:val="00AA4FF3"/>
    <w:rsid w:val="00AB207D"/>
    <w:rsid w:val="00AB414B"/>
    <w:rsid w:val="00AB4EFA"/>
    <w:rsid w:val="00AB6299"/>
    <w:rsid w:val="00AC5DB7"/>
    <w:rsid w:val="00AC7929"/>
    <w:rsid w:val="00AD15E0"/>
    <w:rsid w:val="00AD3BA0"/>
    <w:rsid w:val="00AD5C66"/>
    <w:rsid w:val="00AE045C"/>
    <w:rsid w:val="00AE43DF"/>
    <w:rsid w:val="00AF189E"/>
    <w:rsid w:val="00AF368E"/>
    <w:rsid w:val="00B0086B"/>
    <w:rsid w:val="00B0096D"/>
    <w:rsid w:val="00B036C0"/>
    <w:rsid w:val="00B10276"/>
    <w:rsid w:val="00B14038"/>
    <w:rsid w:val="00B14A68"/>
    <w:rsid w:val="00B1579E"/>
    <w:rsid w:val="00B16538"/>
    <w:rsid w:val="00B20B0C"/>
    <w:rsid w:val="00B22DC8"/>
    <w:rsid w:val="00B23A2C"/>
    <w:rsid w:val="00B255F3"/>
    <w:rsid w:val="00B2570B"/>
    <w:rsid w:val="00B43645"/>
    <w:rsid w:val="00B6105F"/>
    <w:rsid w:val="00B66CAA"/>
    <w:rsid w:val="00B7478E"/>
    <w:rsid w:val="00B96690"/>
    <w:rsid w:val="00BA37BA"/>
    <w:rsid w:val="00BA3BD8"/>
    <w:rsid w:val="00BA74EA"/>
    <w:rsid w:val="00BB324F"/>
    <w:rsid w:val="00BB40CA"/>
    <w:rsid w:val="00BC4FF0"/>
    <w:rsid w:val="00BC5A77"/>
    <w:rsid w:val="00BC5E11"/>
    <w:rsid w:val="00BD3E56"/>
    <w:rsid w:val="00BD3E70"/>
    <w:rsid w:val="00BD7C79"/>
    <w:rsid w:val="00BE5243"/>
    <w:rsid w:val="00BF1E64"/>
    <w:rsid w:val="00C0266F"/>
    <w:rsid w:val="00C104CB"/>
    <w:rsid w:val="00C125CA"/>
    <w:rsid w:val="00C17340"/>
    <w:rsid w:val="00C205F6"/>
    <w:rsid w:val="00C34DE4"/>
    <w:rsid w:val="00C374BC"/>
    <w:rsid w:val="00C425C2"/>
    <w:rsid w:val="00C605FD"/>
    <w:rsid w:val="00C649A0"/>
    <w:rsid w:val="00C701AB"/>
    <w:rsid w:val="00C71D84"/>
    <w:rsid w:val="00C76722"/>
    <w:rsid w:val="00C84880"/>
    <w:rsid w:val="00C875F2"/>
    <w:rsid w:val="00C877A3"/>
    <w:rsid w:val="00CA1D3C"/>
    <w:rsid w:val="00CB0D85"/>
    <w:rsid w:val="00CB289A"/>
    <w:rsid w:val="00CC1B93"/>
    <w:rsid w:val="00CC4F09"/>
    <w:rsid w:val="00CC6372"/>
    <w:rsid w:val="00CC65B3"/>
    <w:rsid w:val="00CD2161"/>
    <w:rsid w:val="00CD2A12"/>
    <w:rsid w:val="00CF4649"/>
    <w:rsid w:val="00CF4E4D"/>
    <w:rsid w:val="00CF6EA9"/>
    <w:rsid w:val="00D00BFD"/>
    <w:rsid w:val="00D0779C"/>
    <w:rsid w:val="00D07CB4"/>
    <w:rsid w:val="00D07D39"/>
    <w:rsid w:val="00D1677D"/>
    <w:rsid w:val="00D33AA8"/>
    <w:rsid w:val="00D35332"/>
    <w:rsid w:val="00D534A0"/>
    <w:rsid w:val="00D576E3"/>
    <w:rsid w:val="00D6318C"/>
    <w:rsid w:val="00D64D9F"/>
    <w:rsid w:val="00D6595F"/>
    <w:rsid w:val="00D71CBC"/>
    <w:rsid w:val="00D72AE6"/>
    <w:rsid w:val="00D84594"/>
    <w:rsid w:val="00D87E9F"/>
    <w:rsid w:val="00DA7479"/>
    <w:rsid w:val="00DB60EC"/>
    <w:rsid w:val="00DD3949"/>
    <w:rsid w:val="00DD454C"/>
    <w:rsid w:val="00DE7325"/>
    <w:rsid w:val="00DF225E"/>
    <w:rsid w:val="00DF2F5A"/>
    <w:rsid w:val="00DF3812"/>
    <w:rsid w:val="00DF69A5"/>
    <w:rsid w:val="00E02B23"/>
    <w:rsid w:val="00E116C2"/>
    <w:rsid w:val="00E227F0"/>
    <w:rsid w:val="00E263F0"/>
    <w:rsid w:val="00E26B14"/>
    <w:rsid w:val="00E336F9"/>
    <w:rsid w:val="00E40ED6"/>
    <w:rsid w:val="00E45581"/>
    <w:rsid w:val="00E4799D"/>
    <w:rsid w:val="00E60F8D"/>
    <w:rsid w:val="00E619D1"/>
    <w:rsid w:val="00E62315"/>
    <w:rsid w:val="00E6412A"/>
    <w:rsid w:val="00E77C6F"/>
    <w:rsid w:val="00E84840"/>
    <w:rsid w:val="00E94073"/>
    <w:rsid w:val="00E944C3"/>
    <w:rsid w:val="00EA1492"/>
    <w:rsid w:val="00EA1A70"/>
    <w:rsid w:val="00EA7DF4"/>
    <w:rsid w:val="00EC0625"/>
    <w:rsid w:val="00EC179E"/>
    <w:rsid w:val="00EC7543"/>
    <w:rsid w:val="00ED2470"/>
    <w:rsid w:val="00ED33F4"/>
    <w:rsid w:val="00ED4200"/>
    <w:rsid w:val="00ED5B58"/>
    <w:rsid w:val="00EE2ED5"/>
    <w:rsid w:val="00EE6F34"/>
    <w:rsid w:val="00F02F02"/>
    <w:rsid w:val="00F06404"/>
    <w:rsid w:val="00F14B70"/>
    <w:rsid w:val="00F15CDF"/>
    <w:rsid w:val="00F15FE9"/>
    <w:rsid w:val="00F1709D"/>
    <w:rsid w:val="00F20856"/>
    <w:rsid w:val="00F261DA"/>
    <w:rsid w:val="00F26D70"/>
    <w:rsid w:val="00F276B4"/>
    <w:rsid w:val="00F32FC9"/>
    <w:rsid w:val="00F34FF6"/>
    <w:rsid w:val="00F35EE1"/>
    <w:rsid w:val="00F459E0"/>
    <w:rsid w:val="00F4680D"/>
    <w:rsid w:val="00F53AC9"/>
    <w:rsid w:val="00F56859"/>
    <w:rsid w:val="00F6299B"/>
    <w:rsid w:val="00F703E4"/>
    <w:rsid w:val="00F7332C"/>
    <w:rsid w:val="00F81935"/>
    <w:rsid w:val="00F82796"/>
    <w:rsid w:val="00F843D7"/>
    <w:rsid w:val="00F84C6C"/>
    <w:rsid w:val="00F93848"/>
    <w:rsid w:val="00F943B6"/>
    <w:rsid w:val="00F95051"/>
    <w:rsid w:val="00F95A01"/>
    <w:rsid w:val="00FA1B0A"/>
    <w:rsid w:val="00FA39C2"/>
    <w:rsid w:val="00FB428D"/>
    <w:rsid w:val="00FB75AB"/>
    <w:rsid w:val="00FC5E95"/>
    <w:rsid w:val="00FD52FF"/>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15AEA"/>
  <w15:chartTrackingRefBased/>
  <w15:docId w15:val="{C39FC838-CB5A-214C-9258-ED178189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960"/>
    <w:pPr>
      <w:spacing w:before="100" w:beforeAutospacing="1" w:after="100" w:afterAutospacing="1"/>
    </w:pPr>
    <w:rPr>
      <w:rFonts w:eastAsia="Times New Roman"/>
      <w:kern w:val="0"/>
      <w14:ligatures w14:val="none"/>
    </w:rPr>
  </w:style>
  <w:style w:type="table" w:styleId="TableGrid">
    <w:name w:val="Table Grid"/>
    <w:basedOn w:val="TableNormal"/>
    <w:uiPriority w:val="39"/>
    <w:rsid w:val="00DF6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757"/>
    <w:rPr>
      <w:sz w:val="20"/>
      <w:szCs w:val="20"/>
    </w:rPr>
  </w:style>
  <w:style w:type="character" w:customStyle="1" w:styleId="FootnoteTextChar">
    <w:name w:val="Footnote Text Char"/>
    <w:basedOn w:val="DefaultParagraphFont"/>
    <w:link w:val="FootnoteText"/>
    <w:uiPriority w:val="99"/>
    <w:semiHidden/>
    <w:rsid w:val="00605757"/>
    <w:rPr>
      <w:sz w:val="20"/>
      <w:szCs w:val="20"/>
    </w:rPr>
  </w:style>
  <w:style w:type="character" w:styleId="FootnoteReference">
    <w:name w:val="footnote reference"/>
    <w:basedOn w:val="DefaultParagraphFont"/>
    <w:uiPriority w:val="99"/>
    <w:semiHidden/>
    <w:unhideWhenUsed/>
    <w:rsid w:val="00605757"/>
    <w:rPr>
      <w:vertAlign w:val="superscript"/>
    </w:rPr>
  </w:style>
  <w:style w:type="paragraph" w:styleId="Footer">
    <w:name w:val="footer"/>
    <w:basedOn w:val="Normal"/>
    <w:link w:val="FooterChar"/>
    <w:uiPriority w:val="99"/>
    <w:unhideWhenUsed/>
    <w:rsid w:val="007722A6"/>
    <w:pPr>
      <w:tabs>
        <w:tab w:val="center" w:pos="4680"/>
        <w:tab w:val="right" w:pos="9360"/>
      </w:tabs>
    </w:pPr>
  </w:style>
  <w:style w:type="character" w:customStyle="1" w:styleId="FooterChar">
    <w:name w:val="Footer Char"/>
    <w:basedOn w:val="DefaultParagraphFont"/>
    <w:link w:val="Footer"/>
    <w:uiPriority w:val="99"/>
    <w:rsid w:val="007722A6"/>
  </w:style>
  <w:style w:type="character" w:styleId="PageNumber">
    <w:name w:val="page number"/>
    <w:basedOn w:val="DefaultParagraphFont"/>
    <w:uiPriority w:val="99"/>
    <w:semiHidden/>
    <w:unhideWhenUsed/>
    <w:rsid w:val="007722A6"/>
  </w:style>
  <w:style w:type="character" w:styleId="EndnoteReference">
    <w:name w:val="endnote reference"/>
    <w:basedOn w:val="DefaultParagraphFont"/>
    <w:uiPriority w:val="99"/>
    <w:semiHidden/>
    <w:unhideWhenUsed/>
    <w:rsid w:val="004B4765"/>
    <w:rPr>
      <w:vertAlign w:val="superscript"/>
    </w:rPr>
  </w:style>
  <w:style w:type="character" w:styleId="CommentReference">
    <w:name w:val="annotation reference"/>
    <w:basedOn w:val="DefaultParagraphFont"/>
    <w:uiPriority w:val="99"/>
    <w:semiHidden/>
    <w:unhideWhenUsed/>
    <w:rsid w:val="000047E9"/>
    <w:rPr>
      <w:sz w:val="16"/>
      <w:szCs w:val="16"/>
    </w:rPr>
  </w:style>
  <w:style w:type="paragraph" w:styleId="CommentText">
    <w:name w:val="annotation text"/>
    <w:basedOn w:val="Normal"/>
    <w:link w:val="CommentTextChar"/>
    <w:uiPriority w:val="99"/>
    <w:unhideWhenUsed/>
    <w:rsid w:val="000047E9"/>
    <w:rPr>
      <w:sz w:val="20"/>
      <w:szCs w:val="20"/>
    </w:rPr>
  </w:style>
  <w:style w:type="character" w:customStyle="1" w:styleId="CommentTextChar">
    <w:name w:val="Comment Text Char"/>
    <w:basedOn w:val="DefaultParagraphFont"/>
    <w:link w:val="CommentText"/>
    <w:uiPriority w:val="99"/>
    <w:rsid w:val="000047E9"/>
    <w:rPr>
      <w:sz w:val="20"/>
      <w:szCs w:val="20"/>
    </w:rPr>
  </w:style>
  <w:style w:type="paragraph" w:styleId="CommentSubject">
    <w:name w:val="annotation subject"/>
    <w:basedOn w:val="CommentText"/>
    <w:next w:val="CommentText"/>
    <w:link w:val="CommentSubjectChar"/>
    <w:uiPriority w:val="99"/>
    <w:semiHidden/>
    <w:unhideWhenUsed/>
    <w:rsid w:val="000047E9"/>
    <w:rPr>
      <w:b/>
      <w:bCs/>
    </w:rPr>
  </w:style>
  <w:style w:type="character" w:customStyle="1" w:styleId="CommentSubjectChar">
    <w:name w:val="Comment Subject Char"/>
    <w:basedOn w:val="CommentTextChar"/>
    <w:link w:val="CommentSubject"/>
    <w:uiPriority w:val="99"/>
    <w:semiHidden/>
    <w:rsid w:val="000047E9"/>
    <w:rPr>
      <w:b/>
      <w:bCs/>
      <w:sz w:val="20"/>
      <w:szCs w:val="20"/>
    </w:rPr>
  </w:style>
  <w:style w:type="paragraph" w:styleId="BalloonText">
    <w:name w:val="Balloon Text"/>
    <w:basedOn w:val="Normal"/>
    <w:link w:val="BalloonTextChar"/>
    <w:uiPriority w:val="99"/>
    <w:semiHidden/>
    <w:unhideWhenUsed/>
    <w:rsid w:val="00436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32"/>
    <w:rPr>
      <w:rFonts w:ascii="Segoe UI" w:hAnsi="Segoe UI" w:cs="Segoe UI"/>
      <w:sz w:val="18"/>
      <w:szCs w:val="18"/>
    </w:rPr>
  </w:style>
  <w:style w:type="paragraph" w:styleId="Revision">
    <w:name w:val="Revision"/>
    <w:hidden/>
    <w:uiPriority w:val="99"/>
    <w:semiHidden/>
    <w:rsid w:val="00B14A68"/>
  </w:style>
  <w:style w:type="paragraph" w:styleId="Header">
    <w:name w:val="header"/>
    <w:basedOn w:val="Normal"/>
    <w:link w:val="HeaderChar"/>
    <w:uiPriority w:val="99"/>
    <w:unhideWhenUsed/>
    <w:rsid w:val="00C84880"/>
    <w:pPr>
      <w:tabs>
        <w:tab w:val="center" w:pos="4680"/>
        <w:tab w:val="right" w:pos="9360"/>
      </w:tabs>
    </w:pPr>
  </w:style>
  <w:style w:type="character" w:customStyle="1" w:styleId="HeaderChar">
    <w:name w:val="Header Char"/>
    <w:basedOn w:val="DefaultParagraphFont"/>
    <w:link w:val="Header"/>
    <w:uiPriority w:val="99"/>
    <w:rsid w:val="00C8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03722">
      <w:bodyDiv w:val="1"/>
      <w:marLeft w:val="0"/>
      <w:marRight w:val="0"/>
      <w:marTop w:val="0"/>
      <w:marBottom w:val="0"/>
      <w:divBdr>
        <w:top w:val="none" w:sz="0" w:space="0" w:color="auto"/>
        <w:left w:val="none" w:sz="0" w:space="0" w:color="auto"/>
        <w:bottom w:val="none" w:sz="0" w:space="0" w:color="auto"/>
        <w:right w:val="none" w:sz="0" w:space="0" w:color="auto"/>
      </w:divBdr>
    </w:div>
    <w:div w:id="833036736">
      <w:bodyDiv w:val="1"/>
      <w:marLeft w:val="0"/>
      <w:marRight w:val="0"/>
      <w:marTop w:val="0"/>
      <w:marBottom w:val="0"/>
      <w:divBdr>
        <w:top w:val="none" w:sz="0" w:space="0" w:color="auto"/>
        <w:left w:val="none" w:sz="0" w:space="0" w:color="auto"/>
        <w:bottom w:val="none" w:sz="0" w:space="0" w:color="auto"/>
        <w:right w:val="none" w:sz="0" w:space="0" w:color="auto"/>
      </w:divBdr>
    </w:div>
    <w:div w:id="844057216">
      <w:bodyDiv w:val="1"/>
      <w:marLeft w:val="0"/>
      <w:marRight w:val="0"/>
      <w:marTop w:val="0"/>
      <w:marBottom w:val="0"/>
      <w:divBdr>
        <w:top w:val="none" w:sz="0" w:space="0" w:color="auto"/>
        <w:left w:val="none" w:sz="0" w:space="0" w:color="auto"/>
        <w:bottom w:val="none" w:sz="0" w:space="0" w:color="auto"/>
        <w:right w:val="none" w:sz="0" w:space="0" w:color="auto"/>
      </w:divBdr>
    </w:div>
    <w:div w:id="19370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B32B-3217-4626-92C6-3CF0FDE4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6293</Words>
  <Characters>35871</Characters>
  <Application>Microsoft Office Word</Application>
  <DocSecurity>0</DocSecurity>
  <Lines>298</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42080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Gellers</dc:creator>
  <cp:keywords/>
  <dc:description/>
  <cp:lastModifiedBy>Josh Gellers</cp:lastModifiedBy>
  <cp:revision>3</cp:revision>
  <dcterms:created xsi:type="dcterms:W3CDTF">2025-02-11T13:56:00Z</dcterms:created>
  <dcterms:modified xsi:type="dcterms:W3CDTF">2025-02-11T13:57:00Z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zotero-version="7.0.6"&gt;&lt;session id="JAzI51pk"/&gt;&lt;style id="http://www.zotero.org/styles/oscola" hasBibliography="1" bibliographyStyleHasBeenSet="0"/&gt;&lt;prefs&gt;&lt;pref name="fieldType" value="Field"/&gt;&lt;pref name="automaticJournalAbbreviatio</vt:lpwstr>
  </property>
  <property fmtid="{D5CDD505-2E9C-101B-9397-08002B2CF9AE}" pid="3" name="ZOTERO_PREF_2">
    <vt:lpwstr>ns" value="true"/&gt;&lt;pref name="noteType" value="1"/&gt;&lt;/prefs&gt;&lt;/data&gt;</vt:lpwstr>
  </property>
</Properties>
</file>